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70521" w14:textId="60DBAB09" w:rsidR="00564893" w:rsidRPr="00283AD3" w:rsidRDefault="005844CD" w:rsidP="005844CD">
      <w:pPr>
        <w:jc w:val="center"/>
        <w:rPr>
          <w:rFonts w:ascii="宋体" w:eastAsia="宋体" w:hAnsi="宋体" w:hint="eastAsia"/>
          <w:b/>
          <w:sz w:val="32"/>
        </w:rPr>
      </w:pPr>
      <w:r w:rsidRPr="00283AD3">
        <w:rPr>
          <w:rFonts w:ascii="宋体" w:eastAsia="宋体" w:hAnsi="宋体" w:hint="eastAsia"/>
          <w:b/>
          <w:sz w:val="32"/>
        </w:rPr>
        <w:t>北京大学第</w:t>
      </w:r>
      <w:r w:rsidR="0053042E" w:rsidRPr="00283AD3">
        <w:rPr>
          <w:rFonts w:ascii="宋体" w:eastAsia="宋体" w:hAnsi="宋体" w:hint="eastAsia"/>
          <w:b/>
          <w:sz w:val="32"/>
        </w:rPr>
        <w:t>33</w:t>
      </w:r>
      <w:r w:rsidRPr="00283AD3">
        <w:rPr>
          <w:rFonts w:ascii="宋体" w:eastAsia="宋体" w:hAnsi="宋体" w:hint="eastAsia"/>
          <w:b/>
          <w:sz w:val="32"/>
        </w:rPr>
        <w:t>届“</w:t>
      </w:r>
      <w:r w:rsidRPr="00283AD3">
        <w:rPr>
          <w:rFonts w:ascii="宋体" w:eastAsia="宋体" w:hAnsi="宋体"/>
          <w:b/>
          <w:sz w:val="32"/>
        </w:rPr>
        <w:t>挑战杯</w:t>
      </w:r>
      <w:r w:rsidRPr="00283AD3">
        <w:rPr>
          <w:rFonts w:ascii="宋体" w:eastAsia="宋体" w:hAnsi="宋体" w:hint="eastAsia"/>
          <w:b/>
          <w:sz w:val="32"/>
        </w:rPr>
        <w:t>”法学院研究课题征集表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1"/>
        <w:gridCol w:w="1935"/>
        <w:gridCol w:w="585"/>
        <w:gridCol w:w="1185"/>
        <w:gridCol w:w="2956"/>
      </w:tblGrid>
      <w:tr w:rsidR="005844CD" w:rsidRPr="00283AD3" w14:paraId="3F8556FF" w14:textId="77777777" w:rsidTr="004F23E5">
        <w:trPr>
          <w:trHeight w:val="588"/>
        </w:trPr>
        <w:tc>
          <w:tcPr>
            <w:tcW w:w="1861" w:type="dxa"/>
          </w:tcPr>
          <w:p w14:paraId="21DCA4FF"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姓名</w:t>
            </w:r>
          </w:p>
        </w:tc>
        <w:tc>
          <w:tcPr>
            <w:tcW w:w="1935" w:type="dxa"/>
          </w:tcPr>
          <w:p w14:paraId="28B29498" w14:textId="23F4038D" w:rsidR="005844CD" w:rsidRPr="00283AD3" w:rsidRDefault="004F6F09"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廖雪霞</w:t>
            </w:r>
          </w:p>
        </w:tc>
        <w:tc>
          <w:tcPr>
            <w:tcW w:w="1770" w:type="dxa"/>
            <w:gridSpan w:val="2"/>
          </w:tcPr>
          <w:p w14:paraId="65FB4968"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联系电话</w:t>
            </w:r>
          </w:p>
        </w:tc>
        <w:tc>
          <w:tcPr>
            <w:tcW w:w="2956" w:type="dxa"/>
          </w:tcPr>
          <w:p w14:paraId="743C11D7" w14:textId="56536832" w:rsidR="005844CD" w:rsidRPr="00283AD3" w:rsidRDefault="004F6F09"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010-62766071</w:t>
            </w:r>
          </w:p>
        </w:tc>
      </w:tr>
      <w:tr w:rsidR="005844CD" w:rsidRPr="00283AD3" w14:paraId="091B1791" w14:textId="77777777" w:rsidTr="004F23E5">
        <w:trPr>
          <w:trHeight w:val="667"/>
        </w:trPr>
        <w:tc>
          <w:tcPr>
            <w:tcW w:w="1861" w:type="dxa"/>
          </w:tcPr>
          <w:p w14:paraId="79675212"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邮箱</w:t>
            </w:r>
          </w:p>
        </w:tc>
        <w:tc>
          <w:tcPr>
            <w:tcW w:w="6661" w:type="dxa"/>
            <w:gridSpan w:val="4"/>
          </w:tcPr>
          <w:p w14:paraId="0BC469CA" w14:textId="484FD5A7" w:rsidR="005844CD" w:rsidRPr="00283AD3" w:rsidRDefault="004F6F09"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xuexia.liao@pku.edu.cn</w:t>
            </w:r>
          </w:p>
        </w:tc>
      </w:tr>
      <w:tr w:rsidR="005844CD" w:rsidRPr="00283AD3" w14:paraId="0A525FF1" w14:textId="77777777" w:rsidTr="004F23E5">
        <w:trPr>
          <w:trHeight w:val="602"/>
        </w:trPr>
        <w:tc>
          <w:tcPr>
            <w:tcW w:w="1861" w:type="dxa"/>
          </w:tcPr>
          <w:p w14:paraId="6F63DD74"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课题名称</w:t>
            </w:r>
          </w:p>
        </w:tc>
        <w:tc>
          <w:tcPr>
            <w:tcW w:w="6661" w:type="dxa"/>
            <w:gridSpan w:val="4"/>
          </w:tcPr>
          <w:p w14:paraId="6533ABCA" w14:textId="4E655E05" w:rsidR="005844CD" w:rsidRPr="00283AD3" w:rsidRDefault="00933742" w:rsidP="005844CD">
            <w:pPr>
              <w:jc w:val="center"/>
              <w:rPr>
                <w:rFonts w:ascii="宋体" w:eastAsia="宋体" w:hAnsi="宋体" w:cs="Times New Roman" w:hint="eastAsia"/>
                <w:sz w:val="28"/>
                <w:szCs w:val="20"/>
              </w:rPr>
            </w:pPr>
            <w:r>
              <w:rPr>
                <w:rFonts w:ascii="宋体" w:eastAsia="宋体" w:hAnsi="宋体" w:cs="Times New Roman" w:hint="eastAsia"/>
                <w:sz w:val="28"/>
                <w:szCs w:val="20"/>
              </w:rPr>
              <w:t>全球</w:t>
            </w:r>
            <w:r w:rsidR="00564EE9" w:rsidRPr="00283AD3">
              <w:rPr>
                <w:rFonts w:ascii="宋体" w:eastAsia="宋体" w:hAnsi="宋体" w:cs="Times New Roman" w:hint="eastAsia"/>
                <w:sz w:val="28"/>
                <w:szCs w:val="20"/>
              </w:rPr>
              <w:t>气候变化诉讼的政治与社会影响</w:t>
            </w:r>
          </w:p>
        </w:tc>
      </w:tr>
      <w:tr w:rsidR="005844CD" w:rsidRPr="00283AD3" w14:paraId="09A49F6E" w14:textId="77777777" w:rsidTr="004F23E5">
        <w:trPr>
          <w:trHeight w:val="269"/>
        </w:trPr>
        <w:tc>
          <w:tcPr>
            <w:tcW w:w="8522" w:type="dxa"/>
            <w:gridSpan w:val="5"/>
          </w:tcPr>
          <w:p w14:paraId="1537682F"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关于课题内容及研究难点的提示</w:t>
            </w:r>
          </w:p>
        </w:tc>
      </w:tr>
      <w:tr w:rsidR="005844CD" w:rsidRPr="00283AD3" w14:paraId="06DC9E49" w14:textId="77777777" w:rsidTr="004F23E5">
        <w:trPr>
          <w:trHeight w:val="2336"/>
        </w:trPr>
        <w:tc>
          <w:tcPr>
            <w:tcW w:w="8522" w:type="dxa"/>
            <w:gridSpan w:val="5"/>
          </w:tcPr>
          <w:p w14:paraId="609B444D" w14:textId="328BAE73" w:rsidR="00015A61" w:rsidRDefault="004F6F09" w:rsidP="00015A61">
            <w:pPr>
              <w:jc w:val="left"/>
              <w:rPr>
                <w:rFonts w:ascii="宋体" w:eastAsia="宋体" w:hAnsi="宋体" w:cs="Times New Roman" w:hint="eastAsia"/>
                <w:sz w:val="24"/>
                <w:szCs w:val="24"/>
              </w:rPr>
            </w:pPr>
            <w:r w:rsidRPr="00283AD3">
              <w:rPr>
                <w:rFonts w:ascii="宋体" w:eastAsia="宋体" w:hAnsi="宋体" w:cs="Times New Roman" w:hint="eastAsia"/>
                <w:sz w:val="24"/>
                <w:szCs w:val="24"/>
              </w:rPr>
              <w:t>气候变化诉讼是对各国国内司法程序、区域性司法机构以及国际性司法机构涉气候变化问题的法律程序的统称。</w:t>
            </w:r>
            <w:r w:rsidR="00283AD3">
              <w:rPr>
                <w:rFonts w:ascii="宋体" w:eastAsia="宋体" w:hAnsi="宋体" w:cs="Times New Roman" w:hint="eastAsia"/>
                <w:sz w:val="24"/>
                <w:szCs w:val="24"/>
              </w:rPr>
              <w:t>当前全球</w:t>
            </w:r>
            <w:r w:rsidRPr="00283AD3">
              <w:rPr>
                <w:rFonts w:ascii="宋体" w:eastAsia="宋体" w:hAnsi="宋体" w:cs="Times New Roman" w:hint="eastAsia"/>
                <w:sz w:val="24"/>
                <w:szCs w:val="24"/>
              </w:rPr>
              <w:t>气候变化诉讼表现出突出的社会运动性质，即诉讼的目的不仅在于取得法院对权利、义务与责任关系的裁断，更在于影响进展缓慢乃至陷入僵局的政治进程（如</w:t>
            </w:r>
            <w:r w:rsidR="00283AD3">
              <w:rPr>
                <w:rFonts w:ascii="宋体" w:eastAsia="宋体" w:hAnsi="宋体" w:cs="Times New Roman" w:hint="eastAsia"/>
                <w:sz w:val="24"/>
                <w:szCs w:val="24"/>
              </w:rPr>
              <w:t>政府间</w:t>
            </w:r>
            <w:r w:rsidRPr="00283AD3">
              <w:rPr>
                <w:rFonts w:ascii="宋体" w:eastAsia="宋体" w:hAnsi="宋体" w:cs="Times New Roman" w:hint="eastAsia"/>
                <w:sz w:val="24"/>
                <w:szCs w:val="24"/>
              </w:rPr>
              <w:t>气候变化谈判）</w:t>
            </w:r>
            <w:r w:rsidR="00283AD3">
              <w:rPr>
                <w:rFonts w:ascii="宋体" w:eastAsia="宋体" w:hAnsi="宋体" w:cs="Times New Roman" w:hint="eastAsia"/>
                <w:sz w:val="24"/>
                <w:szCs w:val="24"/>
              </w:rPr>
              <w:t>或</w:t>
            </w:r>
            <w:r w:rsidR="00015A61" w:rsidRPr="00283AD3">
              <w:rPr>
                <w:rFonts w:ascii="宋体" w:eastAsia="宋体" w:hAnsi="宋体" w:cs="Times New Roman" w:hint="eastAsia"/>
                <w:sz w:val="24"/>
                <w:szCs w:val="24"/>
              </w:rPr>
              <w:t>促进公众对气候变化议题的关注和社会参与。气候变化诉讼因而</w:t>
            </w:r>
            <w:r w:rsidRPr="00283AD3">
              <w:rPr>
                <w:rFonts w:ascii="宋体" w:eastAsia="宋体" w:hAnsi="宋体" w:cs="Times New Roman" w:hint="eastAsia"/>
                <w:sz w:val="24"/>
                <w:szCs w:val="24"/>
              </w:rPr>
              <w:t>成为法律动员(legal mobilization)的一种形式。</w:t>
            </w:r>
          </w:p>
          <w:p w14:paraId="71013A6C" w14:textId="77777777" w:rsidR="00283AD3" w:rsidRPr="00283AD3" w:rsidRDefault="00283AD3" w:rsidP="00015A61">
            <w:pPr>
              <w:jc w:val="left"/>
              <w:rPr>
                <w:rFonts w:ascii="宋体" w:eastAsia="宋体" w:hAnsi="宋体" w:cs="Times New Roman" w:hint="eastAsia"/>
                <w:sz w:val="24"/>
                <w:szCs w:val="24"/>
              </w:rPr>
            </w:pPr>
          </w:p>
          <w:p w14:paraId="7E6D3F73" w14:textId="48832579" w:rsidR="005844CD" w:rsidRPr="00283AD3" w:rsidRDefault="004F6F09" w:rsidP="00015A61">
            <w:pPr>
              <w:jc w:val="left"/>
              <w:rPr>
                <w:rFonts w:ascii="宋体" w:eastAsia="宋体" w:hAnsi="宋体" w:cs="Times New Roman" w:hint="eastAsia"/>
                <w:sz w:val="24"/>
                <w:szCs w:val="24"/>
              </w:rPr>
            </w:pPr>
            <w:r w:rsidRPr="00283AD3">
              <w:rPr>
                <w:rFonts w:ascii="宋体" w:eastAsia="宋体" w:hAnsi="宋体" w:cs="Times New Roman" w:hint="eastAsia"/>
                <w:sz w:val="24"/>
                <w:szCs w:val="24"/>
              </w:rPr>
              <w:t>本课题的研究问题为：气候变化诉讼</w:t>
            </w:r>
            <w:r w:rsidR="00015A61" w:rsidRPr="00283AD3">
              <w:rPr>
                <w:rFonts w:ascii="宋体" w:eastAsia="宋体" w:hAnsi="宋体" w:cs="Times New Roman" w:hint="eastAsia"/>
                <w:sz w:val="24"/>
                <w:szCs w:val="24"/>
              </w:rPr>
              <w:t>是否以及如何产生政治与社会层面的影响？具体而言，本课题旨在研究</w:t>
            </w:r>
          </w:p>
          <w:p w14:paraId="17903018" w14:textId="7C3CC76F" w:rsidR="00015A61" w:rsidRPr="00283AD3" w:rsidRDefault="00015A61" w:rsidP="00015A61">
            <w:pPr>
              <w:pStyle w:val="a3"/>
              <w:numPr>
                <w:ilvl w:val="0"/>
                <w:numId w:val="1"/>
              </w:numPr>
              <w:jc w:val="left"/>
              <w:rPr>
                <w:rFonts w:ascii="宋体" w:eastAsia="宋体" w:hAnsi="宋体" w:cs="Times New Roman" w:hint="eastAsia"/>
                <w:sz w:val="24"/>
                <w:szCs w:val="24"/>
              </w:rPr>
            </w:pPr>
            <w:r w:rsidRPr="00283AD3">
              <w:rPr>
                <w:rFonts w:ascii="宋体" w:eastAsia="宋体" w:hAnsi="宋体" w:cs="Times New Roman" w:hint="eastAsia"/>
                <w:sz w:val="24"/>
                <w:szCs w:val="24"/>
              </w:rPr>
              <w:t>当前各国国内法院</w:t>
            </w:r>
            <w:r w:rsidR="00283AD3">
              <w:rPr>
                <w:rFonts w:ascii="宋体" w:eastAsia="宋体" w:hAnsi="宋体" w:cs="Times New Roman" w:hint="eastAsia"/>
                <w:sz w:val="24"/>
                <w:szCs w:val="24"/>
              </w:rPr>
              <w:t>、区域性司法机构</w:t>
            </w:r>
            <w:r w:rsidRPr="00283AD3">
              <w:rPr>
                <w:rFonts w:ascii="宋体" w:eastAsia="宋体" w:hAnsi="宋体" w:cs="Times New Roman" w:hint="eastAsia"/>
                <w:sz w:val="24"/>
                <w:szCs w:val="24"/>
              </w:rPr>
              <w:t>以及国际司法机构气候变化诉讼的</w:t>
            </w:r>
            <w:r w:rsidR="00283AD3">
              <w:rPr>
                <w:rFonts w:ascii="宋体" w:eastAsia="宋体" w:hAnsi="宋体" w:cs="Times New Roman" w:hint="eastAsia"/>
                <w:sz w:val="24"/>
                <w:szCs w:val="24"/>
              </w:rPr>
              <w:t>权利与法律依据为何？</w:t>
            </w:r>
            <w:r w:rsidR="005225D8">
              <w:rPr>
                <w:rFonts w:ascii="宋体" w:eastAsia="宋体" w:hAnsi="宋体" w:cs="Times New Roman" w:hint="eastAsia"/>
                <w:sz w:val="24"/>
                <w:szCs w:val="24"/>
              </w:rPr>
              <w:t>彼此之间有何种差异？</w:t>
            </w:r>
          </w:p>
          <w:p w14:paraId="7128853A" w14:textId="0DAC3972" w:rsidR="00015A61" w:rsidRPr="00283AD3" w:rsidRDefault="00015A61" w:rsidP="00015A61">
            <w:pPr>
              <w:pStyle w:val="a3"/>
              <w:numPr>
                <w:ilvl w:val="0"/>
                <w:numId w:val="1"/>
              </w:numPr>
              <w:jc w:val="left"/>
              <w:rPr>
                <w:rFonts w:ascii="宋体" w:eastAsia="宋体" w:hAnsi="宋体" w:cs="Times New Roman" w:hint="eastAsia"/>
                <w:sz w:val="24"/>
                <w:szCs w:val="24"/>
              </w:rPr>
            </w:pPr>
            <w:r w:rsidRPr="00283AD3">
              <w:rPr>
                <w:rFonts w:ascii="宋体" w:eastAsia="宋体" w:hAnsi="宋体" w:cs="Times New Roman" w:hint="eastAsia"/>
                <w:sz w:val="24"/>
                <w:szCs w:val="24"/>
              </w:rPr>
              <w:t>气候变化诉讼的参与者包括哪些主体（如个人、非政府组织、国家等）？</w:t>
            </w:r>
          </w:p>
          <w:p w14:paraId="738277B2" w14:textId="791B7119" w:rsidR="00015A61" w:rsidRPr="00283AD3" w:rsidRDefault="00015A61" w:rsidP="00015A61">
            <w:pPr>
              <w:pStyle w:val="a3"/>
              <w:numPr>
                <w:ilvl w:val="0"/>
                <w:numId w:val="1"/>
              </w:numPr>
              <w:jc w:val="left"/>
              <w:rPr>
                <w:rFonts w:ascii="宋体" w:eastAsia="宋体" w:hAnsi="宋体" w:cs="Times New Roman" w:hint="eastAsia"/>
                <w:sz w:val="24"/>
                <w:szCs w:val="24"/>
              </w:rPr>
            </w:pPr>
            <w:r w:rsidRPr="00283AD3">
              <w:rPr>
                <w:rFonts w:ascii="宋体" w:eastAsia="宋体" w:hAnsi="宋体" w:cs="Times New Roman" w:hint="eastAsia"/>
                <w:sz w:val="24"/>
                <w:szCs w:val="24"/>
              </w:rPr>
              <w:t>各地兴起的气候变化诉讼是否对政府间气候变化谈判产生了实际影响？这种影响体现在哪些方面？</w:t>
            </w:r>
          </w:p>
          <w:p w14:paraId="4875A42D" w14:textId="4A7BE087" w:rsidR="00015A61" w:rsidRPr="00283AD3" w:rsidRDefault="00015A61" w:rsidP="00015A61">
            <w:pPr>
              <w:pStyle w:val="a3"/>
              <w:numPr>
                <w:ilvl w:val="0"/>
                <w:numId w:val="1"/>
              </w:numPr>
              <w:jc w:val="left"/>
              <w:rPr>
                <w:rFonts w:ascii="宋体" w:eastAsia="宋体" w:hAnsi="宋体" w:cs="Times New Roman" w:hint="eastAsia"/>
                <w:sz w:val="24"/>
                <w:szCs w:val="24"/>
              </w:rPr>
            </w:pPr>
            <w:r w:rsidRPr="00283AD3">
              <w:rPr>
                <w:rFonts w:ascii="宋体" w:eastAsia="宋体" w:hAnsi="宋体" w:cs="Times New Roman" w:hint="eastAsia"/>
                <w:sz w:val="24"/>
                <w:szCs w:val="24"/>
              </w:rPr>
              <w:t>气候变化诉讼对哪些主体</w:t>
            </w:r>
            <w:r w:rsidR="00283AD3">
              <w:rPr>
                <w:rFonts w:ascii="宋体" w:eastAsia="宋体" w:hAnsi="宋体" w:cs="Times New Roman" w:hint="eastAsia"/>
                <w:sz w:val="24"/>
                <w:szCs w:val="24"/>
              </w:rPr>
              <w:t>的行为</w:t>
            </w:r>
            <w:r w:rsidRPr="00283AD3">
              <w:rPr>
                <w:rFonts w:ascii="宋体" w:eastAsia="宋体" w:hAnsi="宋体" w:cs="Times New Roman" w:hint="eastAsia"/>
                <w:sz w:val="24"/>
                <w:szCs w:val="24"/>
              </w:rPr>
              <w:t>产生了影响（如国家、国际组织、企业等）？</w:t>
            </w:r>
            <w:r w:rsidR="00283AD3">
              <w:rPr>
                <w:rFonts w:ascii="宋体" w:eastAsia="宋体" w:hAnsi="宋体" w:cs="Times New Roman" w:hint="eastAsia"/>
                <w:sz w:val="24"/>
                <w:szCs w:val="24"/>
              </w:rPr>
              <w:t>影响体现在哪些方面？</w:t>
            </w:r>
          </w:p>
          <w:p w14:paraId="365A72ED" w14:textId="77777777" w:rsidR="00015A61" w:rsidRDefault="00015A61" w:rsidP="00015A61">
            <w:pPr>
              <w:pStyle w:val="a3"/>
              <w:numPr>
                <w:ilvl w:val="0"/>
                <w:numId w:val="1"/>
              </w:numPr>
              <w:jc w:val="left"/>
              <w:rPr>
                <w:rFonts w:ascii="宋体" w:eastAsia="宋体" w:hAnsi="宋体" w:cs="Times New Roman" w:hint="eastAsia"/>
                <w:sz w:val="24"/>
                <w:szCs w:val="24"/>
              </w:rPr>
            </w:pPr>
            <w:r w:rsidRPr="00283AD3">
              <w:rPr>
                <w:rFonts w:ascii="宋体" w:eastAsia="宋体" w:hAnsi="宋体" w:cs="Times New Roman" w:hint="eastAsia"/>
                <w:sz w:val="24"/>
                <w:szCs w:val="24"/>
              </w:rPr>
              <w:t>如何从法律动员的角度评价气候变化诉讼？</w:t>
            </w:r>
          </w:p>
          <w:p w14:paraId="31187BD5" w14:textId="77777777" w:rsidR="00283AD3" w:rsidRPr="00283AD3" w:rsidRDefault="00283AD3" w:rsidP="00283AD3">
            <w:pPr>
              <w:pStyle w:val="a3"/>
              <w:jc w:val="left"/>
              <w:rPr>
                <w:rFonts w:ascii="宋体" w:eastAsia="宋体" w:hAnsi="宋体" w:cs="Times New Roman" w:hint="eastAsia"/>
                <w:sz w:val="24"/>
                <w:szCs w:val="24"/>
              </w:rPr>
            </w:pPr>
          </w:p>
          <w:p w14:paraId="550A3181" w14:textId="13536D67" w:rsidR="00015A61" w:rsidRPr="00283AD3" w:rsidRDefault="00015A61" w:rsidP="00015A61">
            <w:pPr>
              <w:jc w:val="left"/>
              <w:rPr>
                <w:rFonts w:ascii="宋体" w:eastAsia="宋体" w:hAnsi="宋体" w:cs="Times New Roman" w:hint="eastAsia"/>
                <w:sz w:val="24"/>
                <w:szCs w:val="24"/>
              </w:rPr>
            </w:pPr>
            <w:r w:rsidRPr="00283AD3">
              <w:rPr>
                <w:rFonts w:ascii="宋体" w:eastAsia="宋体" w:hAnsi="宋体" w:cs="Times New Roman" w:hint="eastAsia"/>
                <w:sz w:val="24"/>
                <w:szCs w:val="24"/>
              </w:rPr>
              <w:t>本课题研究难点提示</w:t>
            </w:r>
          </w:p>
          <w:p w14:paraId="09D5EC4F" w14:textId="39213C2B" w:rsidR="00015A61" w:rsidRPr="00283AD3" w:rsidRDefault="00015A61" w:rsidP="00015A61">
            <w:pPr>
              <w:pStyle w:val="a3"/>
              <w:numPr>
                <w:ilvl w:val="0"/>
                <w:numId w:val="2"/>
              </w:numPr>
              <w:jc w:val="left"/>
              <w:rPr>
                <w:rFonts w:ascii="宋体" w:eastAsia="宋体" w:hAnsi="宋体" w:cs="Times New Roman" w:hint="eastAsia"/>
                <w:sz w:val="24"/>
                <w:szCs w:val="24"/>
              </w:rPr>
            </w:pPr>
            <w:r w:rsidRPr="00283AD3">
              <w:rPr>
                <w:rFonts w:ascii="宋体" w:eastAsia="宋体" w:hAnsi="宋体" w:cs="Times New Roman" w:hint="eastAsia"/>
                <w:sz w:val="24"/>
                <w:szCs w:val="24"/>
              </w:rPr>
              <w:t>研究问题需要厘清不同国家、区域及国际司法机构气候变化诉讼的不同，尤其是</w:t>
            </w:r>
            <w:r w:rsidR="00283AD3">
              <w:rPr>
                <w:rFonts w:ascii="宋体" w:eastAsia="宋体" w:hAnsi="宋体" w:cs="Times New Roman" w:hint="eastAsia"/>
                <w:sz w:val="24"/>
                <w:szCs w:val="24"/>
              </w:rPr>
              <w:t>不同法院（forum）</w:t>
            </w:r>
            <w:r w:rsidRPr="00283AD3">
              <w:rPr>
                <w:rFonts w:ascii="宋体" w:eastAsia="宋体" w:hAnsi="宋体" w:cs="Times New Roman" w:hint="eastAsia"/>
                <w:sz w:val="24"/>
                <w:szCs w:val="24"/>
              </w:rPr>
              <w:t>气候变化诉讼的权利与法律依据</w:t>
            </w:r>
            <w:r w:rsidR="00283AD3">
              <w:rPr>
                <w:rFonts w:ascii="宋体" w:eastAsia="宋体" w:hAnsi="宋体" w:cs="Times New Roman" w:hint="eastAsia"/>
                <w:sz w:val="24"/>
                <w:szCs w:val="24"/>
              </w:rPr>
              <w:t>。</w:t>
            </w:r>
          </w:p>
          <w:p w14:paraId="0B84F5F6" w14:textId="370E42B0" w:rsidR="00015A61" w:rsidRPr="00283AD3" w:rsidRDefault="00283AD3" w:rsidP="00015A61">
            <w:pPr>
              <w:pStyle w:val="a3"/>
              <w:numPr>
                <w:ilvl w:val="0"/>
                <w:numId w:val="2"/>
              </w:numPr>
              <w:jc w:val="left"/>
              <w:rPr>
                <w:rFonts w:ascii="宋体" w:eastAsia="宋体" w:hAnsi="宋体" w:cs="Times New Roman" w:hint="eastAsia"/>
                <w:sz w:val="22"/>
              </w:rPr>
            </w:pPr>
            <w:r w:rsidRPr="00283AD3">
              <w:rPr>
                <w:rFonts w:ascii="宋体" w:eastAsia="宋体" w:hAnsi="宋体" w:cs="Times New Roman" w:hint="eastAsia"/>
                <w:sz w:val="24"/>
                <w:szCs w:val="24"/>
              </w:rPr>
              <w:t>本课题应立足于“政治与社会影响</w:t>
            </w:r>
            <w:r w:rsidRPr="00283AD3">
              <w:rPr>
                <w:rFonts w:ascii="宋体" w:eastAsia="宋体" w:hAnsi="宋体" w:cs="Times New Roman"/>
                <w:sz w:val="24"/>
                <w:szCs w:val="24"/>
              </w:rPr>
              <w:t>”</w:t>
            </w:r>
            <w:r w:rsidRPr="00283AD3">
              <w:rPr>
                <w:rFonts w:ascii="宋体" w:eastAsia="宋体" w:hAnsi="宋体" w:cs="Times New Roman" w:hint="eastAsia"/>
                <w:sz w:val="24"/>
                <w:szCs w:val="24"/>
              </w:rPr>
              <w:t>，因此在研究方法选取上应有明确的跨学科意识。</w:t>
            </w:r>
          </w:p>
        </w:tc>
      </w:tr>
      <w:tr w:rsidR="005844CD" w:rsidRPr="00283AD3" w14:paraId="1A803152" w14:textId="77777777" w:rsidTr="004F23E5">
        <w:trPr>
          <w:trHeight w:val="269"/>
        </w:trPr>
        <w:tc>
          <w:tcPr>
            <w:tcW w:w="8522" w:type="dxa"/>
            <w:gridSpan w:val="5"/>
          </w:tcPr>
          <w:p w14:paraId="58B107AC"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关于课题研究方法的提示</w:t>
            </w:r>
          </w:p>
        </w:tc>
      </w:tr>
      <w:tr w:rsidR="005844CD" w:rsidRPr="00283AD3" w14:paraId="2C60EF4C" w14:textId="77777777" w:rsidTr="00283AD3">
        <w:trPr>
          <w:trHeight w:val="2397"/>
        </w:trPr>
        <w:tc>
          <w:tcPr>
            <w:tcW w:w="8522" w:type="dxa"/>
            <w:gridSpan w:val="5"/>
          </w:tcPr>
          <w:p w14:paraId="42F0D67A" w14:textId="60C8DD47" w:rsidR="005844CD" w:rsidRPr="005225D8" w:rsidRDefault="004F6F09" w:rsidP="00283AD3">
            <w:pPr>
              <w:jc w:val="left"/>
              <w:rPr>
                <w:rFonts w:ascii="宋体" w:eastAsia="宋体" w:hAnsi="宋体" w:cs="Times New Roman" w:hint="eastAsia"/>
                <w:sz w:val="24"/>
                <w:szCs w:val="24"/>
              </w:rPr>
            </w:pPr>
            <w:r w:rsidRPr="005225D8">
              <w:rPr>
                <w:rFonts w:ascii="宋体" w:eastAsia="宋体" w:hAnsi="宋体" w:cs="Times New Roman" w:hint="eastAsia"/>
                <w:sz w:val="24"/>
                <w:szCs w:val="24"/>
              </w:rPr>
              <w:t>本课题希望同学综合运用实证研究方法</w:t>
            </w:r>
            <w:r w:rsidR="00283AD3" w:rsidRPr="005225D8">
              <w:rPr>
                <w:rFonts w:ascii="宋体" w:eastAsia="宋体" w:hAnsi="宋体" w:cs="Times New Roman" w:hint="eastAsia"/>
                <w:sz w:val="24"/>
                <w:szCs w:val="24"/>
              </w:rPr>
              <w:t>和</w:t>
            </w:r>
            <w:r w:rsidRPr="005225D8">
              <w:rPr>
                <w:rFonts w:ascii="宋体" w:eastAsia="宋体" w:hAnsi="宋体" w:cs="Times New Roman" w:hint="eastAsia"/>
                <w:sz w:val="24"/>
                <w:szCs w:val="24"/>
              </w:rPr>
              <w:t>比较研究方法，</w:t>
            </w:r>
            <w:r w:rsidR="00283AD3" w:rsidRPr="005225D8">
              <w:rPr>
                <w:rFonts w:ascii="宋体" w:eastAsia="宋体" w:hAnsi="宋体" w:cs="Times New Roman" w:hint="eastAsia"/>
                <w:sz w:val="24"/>
                <w:szCs w:val="24"/>
              </w:rPr>
              <w:t>突出跨学科意识，</w:t>
            </w:r>
            <w:r w:rsidRPr="005225D8">
              <w:rPr>
                <w:rFonts w:ascii="宋体" w:eastAsia="宋体" w:hAnsi="宋体" w:cs="Times New Roman" w:hint="eastAsia"/>
                <w:sz w:val="24"/>
                <w:szCs w:val="24"/>
              </w:rPr>
              <w:t>分析不同国家和地区法律体系内气候变化诉讼的</w:t>
            </w:r>
            <w:r w:rsidR="00933742">
              <w:rPr>
                <w:rFonts w:ascii="宋体" w:eastAsia="宋体" w:hAnsi="宋体" w:cs="Times New Roman" w:hint="eastAsia"/>
                <w:sz w:val="24"/>
                <w:szCs w:val="24"/>
              </w:rPr>
              <w:t>法律依据</w:t>
            </w:r>
            <w:r w:rsidRPr="005225D8">
              <w:rPr>
                <w:rFonts w:ascii="宋体" w:eastAsia="宋体" w:hAnsi="宋体" w:cs="Times New Roman" w:hint="eastAsia"/>
                <w:sz w:val="24"/>
                <w:szCs w:val="24"/>
              </w:rPr>
              <w:t>，以及这些诉讼对全球气候变化谈判</w:t>
            </w:r>
            <w:r w:rsidR="00933742">
              <w:rPr>
                <w:rFonts w:ascii="宋体" w:eastAsia="宋体" w:hAnsi="宋体" w:cs="Times New Roman" w:hint="eastAsia"/>
                <w:sz w:val="24"/>
                <w:szCs w:val="24"/>
              </w:rPr>
              <w:t>中的政治博弈</w:t>
            </w:r>
            <w:r w:rsidRPr="005225D8">
              <w:rPr>
                <w:rFonts w:ascii="宋体" w:eastAsia="宋体" w:hAnsi="宋体" w:cs="Times New Roman" w:hint="eastAsia"/>
                <w:sz w:val="24"/>
                <w:szCs w:val="24"/>
              </w:rPr>
              <w:t>、</w:t>
            </w:r>
            <w:r w:rsidR="00933742">
              <w:rPr>
                <w:rFonts w:ascii="宋体" w:eastAsia="宋体" w:hAnsi="宋体" w:cs="Times New Roman" w:hint="eastAsia"/>
                <w:sz w:val="24"/>
                <w:szCs w:val="24"/>
              </w:rPr>
              <w:t>不同主体参与改善气候变化行动</w:t>
            </w:r>
            <w:r w:rsidRPr="005225D8">
              <w:rPr>
                <w:rFonts w:ascii="宋体" w:eastAsia="宋体" w:hAnsi="宋体" w:cs="Times New Roman" w:hint="eastAsia"/>
                <w:sz w:val="24"/>
                <w:szCs w:val="24"/>
              </w:rPr>
              <w:t>、提升公共意识与社会参与等不同方面的影响。</w:t>
            </w:r>
          </w:p>
        </w:tc>
      </w:tr>
      <w:tr w:rsidR="005844CD" w:rsidRPr="00283AD3" w14:paraId="42895FFB" w14:textId="77777777" w:rsidTr="004F23E5">
        <w:trPr>
          <w:trHeight w:val="269"/>
        </w:trPr>
        <w:tc>
          <w:tcPr>
            <w:tcW w:w="8522" w:type="dxa"/>
            <w:gridSpan w:val="5"/>
          </w:tcPr>
          <w:p w14:paraId="1DC8FC72"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lastRenderedPageBreak/>
              <w:t>预期的成果及形式</w:t>
            </w:r>
          </w:p>
        </w:tc>
      </w:tr>
      <w:tr w:rsidR="005844CD" w:rsidRPr="00283AD3" w14:paraId="0225BFB6" w14:textId="77777777" w:rsidTr="004F23E5">
        <w:trPr>
          <w:trHeight w:val="1752"/>
        </w:trPr>
        <w:tc>
          <w:tcPr>
            <w:tcW w:w="8522" w:type="dxa"/>
            <w:gridSpan w:val="5"/>
          </w:tcPr>
          <w:p w14:paraId="2B33ED5D" w14:textId="7FCDB7F2" w:rsidR="005844CD" w:rsidRPr="00283AD3" w:rsidRDefault="00283AD3"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研究报告</w:t>
            </w:r>
          </w:p>
        </w:tc>
      </w:tr>
      <w:tr w:rsidR="005844CD" w:rsidRPr="00283AD3" w14:paraId="42EDC13D" w14:textId="77777777" w:rsidTr="004F23E5">
        <w:trPr>
          <w:trHeight w:val="1422"/>
        </w:trPr>
        <w:tc>
          <w:tcPr>
            <w:tcW w:w="4381" w:type="dxa"/>
            <w:gridSpan w:val="3"/>
          </w:tcPr>
          <w:p w14:paraId="7D38620F" w14:textId="77777777" w:rsidR="005844CD" w:rsidRPr="00283AD3" w:rsidRDefault="005844CD"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您是否有兴趣对学生进行指导？</w:t>
            </w:r>
          </w:p>
        </w:tc>
        <w:tc>
          <w:tcPr>
            <w:tcW w:w="4141" w:type="dxa"/>
            <w:gridSpan w:val="2"/>
          </w:tcPr>
          <w:p w14:paraId="7716DB73" w14:textId="2090E74F" w:rsidR="005844CD" w:rsidRPr="00283AD3" w:rsidRDefault="00564EE9" w:rsidP="005844CD">
            <w:pPr>
              <w:jc w:val="center"/>
              <w:rPr>
                <w:rFonts w:ascii="宋体" w:eastAsia="宋体" w:hAnsi="宋体" w:cs="Times New Roman" w:hint="eastAsia"/>
                <w:sz w:val="28"/>
                <w:szCs w:val="20"/>
              </w:rPr>
            </w:pPr>
            <w:r w:rsidRPr="00283AD3">
              <w:rPr>
                <w:rFonts w:ascii="宋体" w:eastAsia="宋体" w:hAnsi="宋体" w:cs="Times New Roman" w:hint="eastAsia"/>
                <w:sz w:val="28"/>
                <w:szCs w:val="20"/>
              </w:rPr>
              <w:t>是</w:t>
            </w:r>
          </w:p>
        </w:tc>
      </w:tr>
    </w:tbl>
    <w:p w14:paraId="361B21BE" w14:textId="77777777" w:rsidR="005844CD" w:rsidRPr="00283AD3" w:rsidRDefault="005844CD" w:rsidP="005844CD">
      <w:pPr>
        <w:jc w:val="center"/>
        <w:rPr>
          <w:rFonts w:ascii="宋体" w:eastAsia="宋体" w:hAnsi="宋体" w:hint="eastAsia"/>
          <w:b/>
          <w:sz w:val="32"/>
        </w:rPr>
      </w:pPr>
    </w:p>
    <w:sectPr w:rsidR="005844CD" w:rsidRPr="00283A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845767"/>
    <w:multiLevelType w:val="hybridMultilevel"/>
    <w:tmpl w:val="BF3E2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E432E1"/>
    <w:multiLevelType w:val="hybridMultilevel"/>
    <w:tmpl w:val="4BF6B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6321106">
    <w:abstractNumId w:val="0"/>
  </w:num>
  <w:num w:numId="2" w16cid:durableId="1363551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4CD"/>
    <w:rsid w:val="00015A61"/>
    <w:rsid w:val="000C2F88"/>
    <w:rsid w:val="000E2E59"/>
    <w:rsid w:val="00283AD3"/>
    <w:rsid w:val="0032616E"/>
    <w:rsid w:val="004F6F09"/>
    <w:rsid w:val="005225D8"/>
    <w:rsid w:val="0053042E"/>
    <w:rsid w:val="00564893"/>
    <w:rsid w:val="00564EE9"/>
    <w:rsid w:val="005844CD"/>
    <w:rsid w:val="00634885"/>
    <w:rsid w:val="007C5797"/>
    <w:rsid w:val="007F2C7D"/>
    <w:rsid w:val="00906AA8"/>
    <w:rsid w:val="00933742"/>
    <w:rsid w:val="00A324FD"/>
    <w:rsid w:val="00AD2953"/>
    <w:rsid w:val="00AE68CF"/>
    <w:rsid w:val="00C564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F4D9"/>
  <w15:docId w15:val="{5BFDC075-4CD5-49BF-B7AA-9CBBAA340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溢嘉 韦</cp:lastModifiedBy>
  <cp:revision>2</cp:revision>
  <dcterms:created xsi:type="dcterms:W3CDTF">2024-10-28T01:23:00Z</dcterms:created>
  <dcterms:modified xsi:type="dcterms:W3CDTF">2024-10-28T01:23:00Z</dcterms:modified>
</cp:coreProperties>
</file>