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39" w:rsidRDefault="00A54D5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北京大学第</w:t>
      </w:r>
      <w:r>
        <w:rPr>
          <w:rFonts w:hint="eastAsia"/>
          <w:b/>
          <w:sz w:val="32"/>
        </w:rPr>
        <w:t>30</w:t>
      </w:r>
      <w:r>
        <w:rPr>
          <w:rFonts w:hint="eastAsia"/>
          <w:b/>
          <w:sz w:val="32"/>
        </w:rPr>
        <w:t>届“</w:t>
      </w:r>
      <w:r>
        <w:rPr>
          <w:b/>
          <w:sz w:val="32"/>
        </w:rPr>
        <w:t>挑战杯</w:t>
      </w:r>
      <w:r>
        <w:rPr>
          <w:rFonts w:hint="eastAsia"/>
          <w:b/>
          <w:sz w:val="32"/>
        </w:rPr>
        <w:t>”法学院研究课题征集表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935"/>
        <w:gridCol w:w="585"/>
        <w:gridCol w:w="1185"/>
        <w:gridCol w:w="2956"/>
      </w:tblGrid>
      <w:tr w:rsidR="00E65539">
        <w:trPr>
          <w:trHeight w:val="588"/>
        </w:trPr>
        <w:tc>
          <w:tcPr>
            <w:tcW w:w="1861" w:type="dxa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姓名</w:t>
            </w:r>
          </w:p>
        </w:tc>
        <w:tc>
          <w:tcPr>
            <w:tcW w:w="1935" w:type="dxa"/>
          </w:tcPr>
          <w:p w:rsidR="00E65539" w:rsidRDefault="00CA72B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曹志勋</w:t>
            </w:r>
          </w:p>
        </w:tc>
        <w:tc>
          <w:tcPr>
            <w:tcW w:w="1770" w:type="dxa"/>
            <w:gridSpan w:val="2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联系电话</w:t>
            </w:r>
          </w:p>
        </w:tc>
        <w:tc>
          <w:tcPr>
            <w:tcW w:w="2956" w:type="dxa"/>
          </w:tcPr>
          <w:p w:rsidR="00E65539" w:rsidRDefault="00CA72B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6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2758976</w:t>
            </w:r>
          </w:p>
        </w:tc>
      </w:tr>
      <w:tr w:rsidR="00E65539">
        <w:trPr>
          <w:trHeight w:val="667"/>
        </w:trPr>
        <w:tc>
          <w:tcPr>
            <w:tcW w:w="1861" w:type="dxa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邮箱</w:t>
            </w:r>
          </w:p>
        </w:tc>
        <w:tc>
          <w:tcPr>
            <w:tcW w:w="6661" w:type="dxa"/>
            <w:gridSpan w:val="4"/>
          </w:tcPr>
          <w:p w:rsidR="00E65539" w:rsidRDefault="00CA72B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p</w:t>
            </w:r>
            <w:r>
              <w:rPr>
                <w:rFonts w:ascii="微软雅黑" w:eastAsia="微软雅黑" w:hAnsi="微软雅黑" w:cs="Times New Roman"/>
                <w:sz w:val="28"/>
                <w:szCs w:val="20"/>
              </w:rPr>
              <w:t>kuhector@pku.edu.cn</w:t>
            </w:r>
          </w:p>
        </w:tc>
      </w:tr>
      <w:tr w:rsidR="00E65539">
        <w:trPr>
          <w:trHeight w:val="602"/>
        </w:trPr>
        <w:tc>
          <w:tcPr>
            <w:tcW w:w="1861" w:type="dxa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课题名称</w:t>
            </w:r>
          </w:p>
        </w:tc>
        <w:tc>
          <w:tcPr>
            <w:tcW w:w="6661" w:type="dxa"/>
            <w:gridSpan w:val="4"/>
          </w:tcPr>
          <w:p w:rsidR="00E65539" w:rsidRDefault="00CA72B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繁简分流背景下的民事诉讼法修改观察</w:t>
            </w:r>
          </w:p>
        </w:tc>
      </w:tr>
      <w:tr w:rsidR="00E65539">
        <w:trPr>
          <w:trHeight w:val="269"/>
        </w:trPr>
        <w:tc>
          <w:tcPr>
            <w:tcW w:w="8522" w:type="dxa"/>
            <w:gridSpan w:val="5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关于课题内容及研究难点的提示</w:t>
            </w:r>
          </w:p>
        </w:tc>
      </w:tr>
      <w:tr w:rsidR="00E65539">
        <w:trPr>
          <w:trHeight w:val="2336"/>
        </w:trPr>
        <w:tc>
          <w:tcPr>
            <w:tcW w:w="8522" w:type="dxa"/>
            <w:gridSpan w:val="5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近期，全国人大常委会审议了《民事诉讼法（修正草案）》，并且向社会公众征求意见。在十六条的修正条文中，主要聚焦此前两年的繁简分流改革试点工作。这一问题并非理论方案的选择，而是深深植根于我国的国情以及对我国国情的考察研判。从相关条文修改中，发现对司法实务有重大影响的内容，并且从多学科的角度进行研究，是本课题的重点与难点。</w:t>
            </w:r>
          </w:p>
        </w:tc>
      </w:tr>
      <w:tr w:rsidR="00E65539">
        <w:trPr>
          <w:trHeight w:val="269"/>
        </w:trPr>
        <w:tc>
          <w:tcPr>
            <w:tcW w:w="8522" w:type="dxa"/>
            <w:gridSpan w:val="5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关于课题研究方法的提示</w:t>
            </w:r>
          </w:p>
        </w:tc>
      </w:tr>
      <w:tr w:rsidR="00E65539">
        <w:trPr>
          <w:trHeight w:val="2481"/>
        </w:trPr>
        <w:tc>
          <w:tcPr>
            <w:tcW w:w="8522" w:type="dxa"/>
            <w:gridSpan w:val="5"/>
          </w:tcPr>
          <w:p w:rsidR="00CA72BE" w:rsidRPr="00A54D5C" w:rsidRDefault="00CA72BE" w:rsidP="00CA72BE">
            <w:pPr>
              <w:jc w:val="center"/>
              <w:rPr>
                <w:rFonts w:ascii="微软雅黑" w:eastAsia="微软雅黑" w:hAnsi="微软雅黑" w:cs="Times New Roman"/>
                <w:sz w:val="24"/>
                <w:szCs w:val="20"/>
              </w:rPr>
            </w:pP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1</w:t>
            </w:r>
            <w:r w:rsidRPr="00A54D5C">
              <w:rPr>
                <w:rFonts w:ascii="微软雅黑" w:eastAsia="微软雅黑" w:hAnsi="微软雅黑" w:cs="Times New Roman"/>
                <w:sz w:val="24"/>
                <w:szCs w:val="20"/>
              </w:rPr>
              <w:t xml:space="preserve">. 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实证研究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，比如</w:t>
            </w:r>
            <w:r w:rsidR="00A54D5C"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多元解纷、独任制、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小额诉讼、电子诉讼的运行状况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。</w:t>
            </w:r>
          </w:p>
          <w:p w:rsidR="00CA72BE" w:rsidRPr="00A54D5C" w:rsidRDefault="00CA72BE" w:rsidP="00CA72BE">
            <w:pPr>
              <w:jc w:val="center"/>
              <w:rPr>
                <w:rFonts w:ascii="微软雅黑" w:eastAsia="微软雅黑" w:hAnsi="微软雅黑" w:cs="Times New Roman"/>
                <w:sz w:val="24"/>
                <w:szCs w:val="20"/>
              </w:rPr>
            </w:pP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2</w:t>
            </w:r>
            <w:r w:rsidRPr="00A54D5C">
              <w:rPr>
                <w:rFonts w:ascii="微软雅黑" w:eastAsia="微软雅黑" w:hAnsi="微软雅黑" w:cs="Times New Roman"/>
                <w:sz w:val="24"/>
                <w:szCs w:val="20"/>
              </w:rPr>
              <w:t xml:space="preserve">. 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法理、部门法理与法解释学的结合。</w:t>
            </w:r>
          </w:p>
          <w:p w:rsidR="00CA72BE" w:rsidRPr="00A54D5C" w:rsidRDefault="00CA72BE" w:rsidP="00CA72BE">
            <w:pPr>
              <w:jc w:val="center"/>
              <w:rPr>
                <w:rFonts w:ascii="微软雅黑" w:eastAsia="微软雅黑" w:hAnsi="微软雅黑" w:cs="Times New Roman"/>
                <w:sz w:val="24"/>
                <w:szCs w:val="20"/>
              </w:rPr>
            </w:pP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3</w:t>
            </w:r>
            <w:r w:rsidRPr="00A54D5C">
              <w:rPr>
                <w:rFonts w:ascii="微软雅黑" w:eastAsia="微软雅黑" w:hAnsi="微软雅黑" w:cs="Times New Roman"/>
                <w:sz w:val="24"/>
                <w:szCs w:val="20"/>
              </w:rPr>
              <w:t xml:space="preserve">. 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与其他社会科学与人文学科的多学科交叉。</w:t>
            </w:r>
          </w:p>
          <w:p w:rsidR="00CA72BE" w:rsidRPr="00A54D5C" w:rsidRDefault="00CA72BE" w:rsidP="00CA72BE">
            <w:pPr>
              <w:jc w:val="center"/>
              <w:rPr>
                <w:rFonts w:ascii="微软雅黑" w:eastAsia="微软雅黑" w:hAnsi="微软雅黑" w:cs="Times New Roman"/>
                <w:sz w:val="24"/>
                <w:szCs w:val="20"/>
              </w:rPr>
            </w:pP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4</w:t>
            </w:r>
            <w:r w:rsidRPr="00A54D5C">
              <w:rPr>
                <w:rFonts w:ascii="微软雅黑" w:eastAsia="微软雅黑" w:hAnsi="微软雅黑" w:cs="Times New Roman"/>
                <w:sz w:val="24"/>
                <w:szCs w:val="20"/>
              </w:rPr>
              <w:t>.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与理工学科及交叉科学、人工智能研究的关联。</w:t>
            </w:r>
          </w:p>
          <w:p w:rsidR="00E65539" w:rsidRDefault="00CA72BE" w:rsidP="00CA72B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5</w:t>
            </w:r>
            <w:r w:rsidRPr="00A54D5C">
              <w:rPr>
                <w:rFonts w:ascii="微软雅黑" w:eastAsia="微软雅黑" w:hAnsi="微软雅黑" w:cs="Times New Roman"/>
                <w:sz w:val="24"/>
                <w:szCs w:val="20"/>
              </w:rPr>
              <w:t xml:space="preserve">. </w:t>
            </w:r>
            <w:r w:rsidRPr="00A54D5C">
              <w:rPr>
                <w:rFonts w:ascii="微软雅黑" w:eastAsia="微软雅黑" w:hAnsi="微软雅黑" w:cs="Times New Roman" w:hint="eastAsia"/>
                <w:sz w:val="24"/>
                <w:szCs w:val="20"/>
              </w:rPr>
              <w:t>法理之外的对策与分析。</w:t>
            </w:r>
          </w:p>
        </w:tc>
      </w:tr>
      <w:tr w:rsidR="00E65539">
        <w:trPr>
          <w:trHeight w:val="269"/>
        </w:trPr>
        <w:tc>
          <w:tcPr>
            <w:tcW w:w="8522" w:type="dxa"/>
            <w:gridSpan w:val="5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预期的成果及形式</w:t>
            </w:r>
          </w:p>
        </w:tc>
      </w:tr>
      <w:tr w:rsidR="00E65539" w:rsidTr="00A54D5C">
        <w:trPr>
          <w:trHeight w:val="1163"/>
        </w:trPr>
        <w:tc>
          <w:tcPr>
            <w:tcW w:w="8522" w:type="dxa"/>
            <w:gridSpan w:val="5"/>
          </w:tcPr>
          <w:p w:rsidR="00E65539" w:rsidRDefault="00CA72B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研究报告</w:t>
            </w:r>
          </w:p>
        </w:tc>
      </w:tr>
      <w:tr w:rsidR="00E65539" w:rsidTr="00A54D5C">
        <w:trPr>
          <w:trHeight w:val="962"/>
        </w:trPr>
        <w:tc>
          <w:tcPr>
            <w:tcW w:w="4381" w:type="dxa"/>
            <w:gridSpan w:val="3"/>
          </w:tcPr>
          <w:p w:rsidR="00E65539" w:rsidRDefault="00A54D5C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您是否有兴趣对学生进行指导？</w:t>
            </w:r>
          </w:p>
        </w:tc>
        <w:tc>
          <w:tcPr>
            <w:tcW w:w="4141" w:type="dxa"/>
            <w:gridSpan w:val="2"/>
          </w:tcPr>
          <w:p w:rsidR="00E65539" w:rsidRDefault="00CA72BE">
            <w:pPr>
              <w:jc w:val="center"/>
              <w:rPr>
                <w:rFonts w:ascii="微软雅黑" w:eastAsia="微软雅黑" w:hAnsi="微软雅黑" w:cs="Times New Roman"/>
                <w:sz w:val="28"/>
                <w:szCs w:val="20"/>
              </w:rPr>
            </w:pPr>
            <w:r>
              <w:rPr>
                <w:rFonts w:ascii="微软雅黑" w:eastAsia="微软雅黑" w:hAnsi="微软雅黑" w:cs="Times New Roman" w:hint="eastAsia"/>
                <w:sz w:val="28"/>
                <w:szCs w:val="20"/>
              </w:rPr>
              <w:t>好的</w:t>
            </w:r>
          </w:p>
        </w:tc>
      </w:tr>
    </w:tbl>
    <w:p w:rsidR="00E65539" w:rsidRDefault="00E65539" w:rsidP="00A54D5C">
      <w:pPr>
        <w:jc w:val="center"/>
        <w:rPr>
          <w:b/>
          <w:sz w:val="32"/>
        </w:rPr>
      </w:pPr>
      <w:bookmarkStart w:id="0" w:name="_GoBack"/>
      <w:bookmarkEnd w:id="0"/>
    </w:p>
    <w:sectPr w:rsidR="00E65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CD"/>
    <w:rsid w:val="000C2F88"/>
    <w:rsid w:val="0032616E"/>
    <w:rsid w:val="00564893"/>
    <w:rsid w:val="005844CD"/>
    <w:rsid w:val="00A54D5C"/>
    <w:rsid w:val="00AD2953"/>
    <w:rsid w:val="00AE68CF"/>
    <w:rsid w:val="00C56448"/>
    <w:rsid w:val="00CA72BE"/>
    <w:rsid w:val="00E65539"/>
    <w:rsid w:val="1A99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F10B8"/>
  <w15:docId w15:val="{F0ADBC3E-D8C2-45A4-AF24-69F61997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Cao Hector</cp:lastModifiedBy>
  <cp:revision>7</cp:revision>
  <dcterms:created xsi:type="dcterms:W3CDTF">2016-11-27T07:11:00Z</dcterms:created>
  <dcterms:modified xsi:type="dcterms:W3CDTF">2021-11-07T03:47:00Z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9D1D00A6454142A2B7BE2FBDB93235B3</vt:lpwstr>
  </property>
</Properties>
</file>