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法学院</w:t>
      </w:r>
      <w:r>
        <w:rPr>
          <w:rFonts w:hint="eastAsia"/>
          <w:b/>
          <w:sz w:val="32"/>
          <w:szCs w:val="32"/>
          <w:lang w:eastAsia="zh-CN"/>
        </w:rPr>
        <w:t>挑战杯招标</w:t>
      </w:r>
      <w:r>
        <w:rPr>
          <w:rFonts w:hint="eastAsia"/>
          <w:b/>
          <w:sz w:val="32"/>
          <w:szCs w:val="32"/>
        </w:rPr>
        <w:t>相关课题</w:t>
      </w:r>
      <w:bookmarkStart w:id="0" w:name="_GoBack"/>
      <w:bookmarkEnd w:id="0"/>
    </w:p>
    <w:tbl>
      <w:tblPr>
        <w:tblW w:w="8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430"/>
        <w:gridCol w:w="2310"/>
        <w:gridCol w:w="1214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65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>课题内容及难点提示</w:t>
            </w:r>
          </w:p>
        </w:tc>
        <w:tc>
          <w:tcPr>
            <w:tcW w:w="2310" w:type="dxa"/>
            <w:vAlign w:val="top"/>
          </w:tcPr>
          <w:p>
            <w:pPr>
              <w:rPr>
                <w:sz w:val="24"/>
              </w:rPr>
            </w:pPr>
          </w:p>
          <w:p>
            <w:r>
              <w:rPr>
                <w:rFonts w:hint="eastAsia"/>
                <w:sz w:val="24"/>
              </w:rPr>
              <w:t>课题研究方法</w:t>
            </w:r>
          </w:p>
        </w:tc>
        <w:tc>
          <w:tcPr>
            <w:tcW w:w="1214" w:type="dxa"/>
            <w:vAlign w:val="top"/>
          </w:tcPr>
          <w:p>
            <w:pPr>
              <w:rPr>
                <w:sz w:val="24"/>
              </w:rPr>
            </w:pPr>
          </w:p>
          <w:p>
            <w:r>
              <w:rPr>
                <w:rFonts w:hint="eastAsia"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25" w:hRule="atLeast"/>
        </w:trPr>
        <w:tc>
          <w:tcPr>
            <w:tcW w:w="2365" w:type="dxa"/>
            <w:vAlign w:val="top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与自杀有关的犯罪问题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自杀问题的中西方差异与城乡差异；对于</w:t>
            </w:r>
            <w:r>
              <w:rPr>
                <w:rFonts w:ascii="Arial" w:hAnsi="Arial" w:cs="Arial"/>
                <w:color w:val="000000"/>
                <w:szCs w:val="21"/>
              </w:rPr>
              <w:t>教唆、帮助自杀的行为是否可罚的争议</w:t>
            </w:r>
          </w:p>
        </w:tc>
        <w:tc>
          <w:tcPr>
            <w:tcW w:w="2310" w:type="dxa"/>
            <w:vAlign w:val="top"/>
          </w:tcPr>
          <w:p>
            <w:pPr>
              <w:pStyle w:val="9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多收集大量实际案例，具体分析里面的情况，做一些实证和经验研究</w:t>
            </w:r>
          </w:p>
        </w:tc>
        <w:tc>
          <w:tcPr>
            <w:tcW w:w="121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07" w:hRule="atLeast"/>
        </w:trPr>
        <w:tc>
          <w:tcPr>
            <w:tcW w:w="2365" w:type="dxa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南海九段线的法律地位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65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Heiti SC Light" w:hAnsi="Heiti SC Light"/>
                <w:color w:val="000000"/>
                <w:szCs w:val="21"/>
              </w:rPr>
              <w:t>中央和地方事权与支出责任划分问题研究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65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Heiti SC Light" w:hAnsi="Heiti SC Light"/>
                <w:color w:val="000000"/>
                <w:szCs w:val="21"/>
              </w:rPr>
              <w:t>地方政府债务风险防控机制研究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65" w:hRule="atLeast"/>
        </w:trPr>
        <w:tc>
          <w:tcPr>
            <w:tcW w:w="2365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Heiti SC Light" w:hAnsi="Heiti SC Light"/>
                <w:color w:val="000000"/>
                <w:szCs w:val="21"/>
              </w:rPr>
              <w:t>开征环境保护税与税收的生态保护功能研究</w:t>
            </w:r>
          </w:p>
        </w:tc>
        <w:tc>
          <w:tcPr>
            <w:tcW w:w="2430" w:type="dxa"/>
            <w:vAlign w:val="top"/>
          </w:tcPr>
          <w:p>
            <w:pPr>
              <w:jc w:val="center"/>
            </w:pPr>
          </w:p>
        </w:tc>
        <w:tc>
          <w:tcPr>
            <w:tcW w:w="2310" w:type="dxa"/>
            <w:vAlign w:val="top"/>
          </w:tcPr>
          <w:p>
            <w:pPr>
              <w:jc w:val="center"/>
            </w:pPr>
          </w:p>
        </w:tc>
        <w:tc>
          <w:tcPr>
            <w:tcW w:w="1214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65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Heiti SC Light" w:hAnsi="Heiti SC Light"/>
                <w:color w:val="000000"/>
                <w:szCs w:val="21"/>
              </w:rPr>
              <w:t>透明预算的国际比较及实证研究</w:t>
            </w:r>
          </w:p>
        </w:tc>
        <w:tc>
          <w:tcPr>
            <w:tcW w:w="2430" w:type="dxa"/>
            <w:vAlign w:val="top"/>
          </w:tcPr>
          <w:p>
            <w:pPr>
              <w:jc w:val="center"/>
            </w:pPr>
          </w:p>
        </w:tc>
        <w:tc>
          <w:tcPr>
            <w:tcW w:w="2310" w:type="dxa"/>
            <w:vAlign w:val="top"/>
          </w:tcPr>
          <w:p>
            <w:pPr>
              <w:jc w:val="center"/>
            </w:pPr>
          </w:p>
        </w:tc>
        <w:tc>
          <w:tcPr>
            <w:tcW w:w="1214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65" w:type="dxa"/>
            <w:vAlign w:val="top"/>
          </w:tcPr>
          <w:p>
            <w:pPr>
              <w:pStyle w:val="6"/>
              <w:spacing w:line="34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涉及股权投资的对赌</w:t>
            </w:r>
          </w:p>
          <w:p>
            <w:pPr>
              <w:pStyle w:val="6"/>
              <w:spacing w:line="34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协议的效力问题研究</w:t>
            </w:r>
          </w:p>
        </w:tc>
        <w:tc>
          <w:tcPr>
            <w:tcW w:w="2430" w:type="dxa"/>
            <w:vAlign w:val="top"/>
          </w:tcPr>
          <w:p>
            <w:pPr>
              <w:jc w:val="center"/>
            </w:pPr>
          </w:p>
        </w:tc>
        <w:tc>
          <w:tcPr>
            <w:tcW w:w="2310" w:type="dxa"/>
            <w:vAlign w:val="top"/>
          </w:tcPr>
          <w:p>
            <w:pPr>
              <w:jc w:val="center"/>
            </w:pPr>
          </w:p>
        </w:tc>
        <w:tc>
          <w:tcPr>
            <w:tcW w:w="1214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70" w:hRule="atLeast"/>
        </w:trPr>
        <w:tc>
          <w:tcPr>
            <w:tcW w:w="2365" w:type="dxa"/>
            <w:vAlign w:val="top"/>
          </w:tcPr>
          <w:p>
            <w:pPr>
              <w:jc w:val="center"/>
            </w:pPr>
            <w:r>
              <w:t>中央对香港的治理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9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集体劳动关系的</w:t>
            </w:r>
          </w:p>
          <w:p>
            <w:pPr>
              <w:jc w:val="center"/>
            </w:pPr>
            <w:r>
              <w:rPr>
                <w:rFonts w:hint="eastAsia"/>
              </w:rPr>
              <w:t>法律规制</w:t>
            </w:r>
          </w:p>
          <w:p>
            <w:pPr>
              <w:jc w:val="center"/>
            </w:pP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vAlign w:val="top"/>
          </w:tcPr>
          <w:p>
            <w:r>
              <w:rPr>
                <w:rFonts w:hint="eastAsia"/>
              </w:rPr>
              <w:t>可以由多人（不超过3人）合作完成或独立完成，强调理论与实践相结合，鼓励开展调研，在实地调研基础上完成论文。</w:t>
            </w:r>
          </w:p>
        </w:tc>
        <w:tc>
          <w:tcPr>
            <w:tcW w:w="121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劳动争议案件的</w:t>
            </w:r>
          </w:p>
          <w:p>
            <w:pPr>
              <w:jc w:val="center"/>
            </w:pPr>
            <w:r>
              <w:rPr>
                <w:rFonts w:hint="eastAsia"/>
              </w:rPr>
              <w:t>举证责任分配</w:t>
            </w:r>
          </w:p>
          <w:p>
            <w:pPr>
              <w:jc w:val="center"/>
            </w:pP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vAlign w:val="top"/>
          </w:tcPr>
          <w:p>
            <w:r>
              <w:rPr>
                <w:rFonts w:hint="eastAsia"/>
              </w:rPr>
              <w:t>可以由多人（不超过3人）合作完成或独立完成，强调理论与实践相结合，鼓励开展调研，在实地调研基础上完成论文。</w:t>
            </w:r>
          </w:p>
        </w:tc>
        <w:tc>
          <w:tcPr>
            <w:tcW w:w="121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65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我国反性骚扰法律规范之改进</w:t>
            </w:r>
          </w:p>
          <w:p>
            <w:pPr>
              <w:jc w:val="center"/>
            </w:pP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vAlign w:val="top"/>
          </w:tcPr>
          <w:p>
            <w:r>
              <w:rPr>
                <w:rFonts w:hint="eastAsia"/>
              </w:rPr>
              <w:t>可以由多人（不超过3人）合作完成或独立完成，强调理论与实践相结合，鼓励开展调研，在实地调研基础上完成论文。</w:t>
            </w:r>
          </w:p>
        </w:tc>
        <w:tc>
          <w:tcPr>
            <w:tcW w:w="121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女职工特殊劳动</w:t>
            </w:r>
          </w:p>
          <w:p>
            <w:pPr>
              <w:jc w:val="center"/>
            </w:pPr>
            <w:r>
              <w:rPr>
                <w:rFonts w:hint="eastAsia"/>
              </w:rPr>
              <w:t>保护问题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vAlign w:val="top"/>
          </w:tcPr>
          <w:p>
            <w:r>
              <w:rPr>
                <w:rFonts w:hint="eastAsia"/>
              </w:rPr>
              <w:t>可以由多人（不超过3人）合作完成或独立完成，强调理论与实践相结合，鼓励开展调研，在实地调研基础上完成论文。</w:t>
            </w:r>
          </w:p>
        </w:tc>
        <w:tc>
          <w:tcPr>
            <w:tcW w:w="121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365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“公司法、证券法、期货法”三法修改专题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（详情见附）</w:t>
            </w:r>
          </w:p>
        </w:tc>
        <w:tc>
          <w:tcPr>
            <w:tcW w:w="2430" w:type="dxa"/>
            <w:vAlign w:val="top"/>
          </w:tcPr>
          <w:p>
            <w:r>
              <w:rPr>
                <w:rFonts w:hint="eastAsia"/>
              </w:rPr>
              <w:t>论文应围绕公司法、证券法、期货法的修改进行，可以结合法条分析其利弊，提出改进建议；可以评估法律制度的得失，借鉴国际先进经验构建新规则；可以结合金融实务和创新，阐述法律的作用与困境，提出完善之策；可以考察金融案例，评估司法功能，论证司法应有的理性和举措。文章应反映金融监管和市场发展趋势、贴近金融实务，具有学术深度和实践运用价值。</w:t>
            </w:r>
          </w:p>
        </w:tc>
        <w:tc>
          <w:tcPr>
            <w:tcW w:w="2310" w:type="dxa"/>
            <w:vAlign w:val="top"/>
          </w:tcPr>
          <w:p>
            <w:r>
              <w:rPr>
                <w:rFonts w:hint="eastAsia"/>
              </w:rPr>
              <w:t>应契合“公司法、证券法、期货法”修改的主题。论文应有提出问题，有深入的分析，有充分的论证，有最终的观点，避免鸿篇大论，或作过多的常识性介绍，流于俗套。</w:t>
            </w:r>
          </w:p>
        </w:tc>
        <w:tc>
          <w:tcPr>
            <w:tcW w:w="121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65" w:type="dxa"/>
            <w:vAlign w:val="top"/>
          </w:tcPr>
          <w:p>
            <w:pPr>
              <w:pStyle w:val="6"/>
              <w:spacing w:line="34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学生参与大学治理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5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30" w:type="dxa"/>
            <w:vAlign w:val="top"/>
          </w:tcPr>
          <w:p>
            <w:pPr>
              <w:pStyle w:val="6"/>
              <w:spacing w:line="345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现代大学制度建设，大学治理，尤其是学生如</w:t>
            </w:r>
            <w:r>
              <w:rPr>
                <w:rFonts w:hint="eastAsia"/>
                <w:color w:val="000000"/>
                <w:sz w:val="21"/>
                <w:szCs w:val="21"/>
              </w:rPr>
              <w:t>何</w:t>
            </w:r>
            <w:r>
              <w:rPr>
                <w:color w:val="000000"/>
                <w:sz w:val="21"/>
                <w:szCs w:val="21"/>
              </w:rPr>
              <w:t>有效第参与大学治理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9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top"/>
          </w:tcPr>
          <w:p>
            <w:pPr>
              <w:pStyle w:val="6"/>
              <w:spacing w:line="345" w:lineRule="atLeas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5" w:type="dxa"/>
            <w:vAlign w:val="top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Cs w:val="21"/>
              </w:rPr>
              <w:t>互联网领域市场支配地位的认定</w:t>
            </w:r>
          </w:p>
        </w:tc>
        <w:tc>
          <w:tcPr>
            <w:tcW w:w="243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Cs w:val="21"/>
              </w:rPr>
              <w:t>以</w:t>
            </w: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3Q案为例</w:t>
            </w:r>
          </w:p>
        </w:tc>
        <w:tc>
          <w:tcPr>
            <w:tcW w:w="1225" w:type="dxa"/>
            <w:gridSpan w:val="2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pStyle w:val="6"/>
              <w:spacing w:line="34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环评公众参与法律制度的完善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top"/>
          </w:tcPr>
          <w:p>
            <w:pPr>
              <w:pStyle w:val="6"/>
              <w:spacing w:line="345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目前由于环评引发的群体性事件很多，其中很重要的原因在于环评法规定环评过程中应当有公众参与，但是对于公众参与的程序和程度并无十分明确的法律规定，这导致环评公众参与在实践中的混乱和无序。新修改的环保法要求建设单位充分征求意见，但是何谓“充分”还需进一步细化。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pStyle w:val="6"/>
              <w:spacing w:line="34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政策环评的制度构建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top"/>
          </w:tcPr>
          <w:p>
            <w:pPr>
              <w:pStyle w:val="6"/>
              <w:spacing w:line="345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政策环评是环评发展的高级阶段，我国新环保法要求制定重大经济、技术政策考虑环境影响，但是并未规定具体的程序过程。因此，需要在研究我国的政策过程的基础上，构建相应的政策环评程序制度。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2365" w:type="dxa"/>
            <w:vAlign w:val="top"/>
          </w:tcPr>
          <w:p>
            <w:pPr>
              <w:pStyle w:val="6"/>
              <w:spacing w:line="34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国家环保义务研究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top"/>
          </w:tcPr>
          <w:p>
            <w:pPr>
              <w:pStyle w:val="6"/>
              <w:spacing w:line="345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目前中国的环境污染事件频发，国家未尽到环保义务是根源之一。然后无论从理论还是实践中，国家环保义务的性质和内容都存在争议，需要进一步廓清。</w:t>
            </w:r>
          </w:p>
        </w:tc>
        <w:tc>
          <w:tcPr>
            <w:tcW w:w="2310" w:type="dxa"/>
            <w:vAlign w:val="top"/>
          </w:tcPr>
          <w:p>
            <w:pPr>
              <w:jc w:val="center"/>
            </w:pPr>
          </w:p>
        </w:tc>
        <w:tc>
          <w:tcPr>
            <w:tcW w:w="1225" w:type="dxa"/>
            <w:gridSpan w:val="2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</w:trPr>
        <w:tc>
          <w:tcPr>
            <w:tcW w:w="2365" w:type="dxa"/>
            <w:vAlign w:val="top"/>
          </w:tcPr>
          <w:p>
            <w:pPr>
              <w:pStyle w:val="6"/>
              <w:spacing w:line="345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法院在环境保护中的功能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top"/>
          </w:tcPr>
          <w:p>
            <w:pPr>
              <w:pStyle w:val="6"/>
              <w:spacing w:line="345" w:lineRule="atLeast"/>
            </w:pPr>
            <w:r>
              <w:rPr>
                <w:color w:val="000000"/>
                <w:sz w:val="21"/>
                <w:szCs w:val="21"/>
              </w:rPr>
              <w:t>自2012年民诉法修订确立公益诉讼之后，2014年修改的环保法对环境公益诉讼做了更为明确的规定，目前最高人民法院正在征求对环境公益诉讼司法解释的意见。然而，在技术层面讨论环境公益诉讼的具体规则之前，首先需要在中国的政治体制背景下，明确法院在环境保护中的作用及其局限，只有这样才能明确工作重点方向，有所为有所不为。</w:t>
            </w:r>
          </w:p>
        </w:tc>
        <w:tc>
          <w:tcPr>
            <w:tcW w:w="2310" w:type="dxa"/>
            <w:vAlign w:val="top"/>
          </w:tcPr>
          <w:p>
            <w:pPr>
              <w:jc w:val="center"/>
            </w:pPr>
          </w:p>
        </w:tc>
        <w:tc>
          <w:tcPr>
            <w:tcW w:w="1225" w:type="dxa"/>
            <w:gridSpan w:val="2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jc w:val="center"/>
            </w:pPr>
            <w:r>
              <w:rPr>
                <w:rFonts w:ascii="Helvetica" w:hAnsi="Helvetica" w:cs="Helvetica"/>
                <w:color w:val="000000"/>
                <w:szCs w:val="21"/>
              </w:rPr>
              <w:t>涉诉上访的现状与改革</w:t>
            </w:r>
          </w:p>
        </w:tc>
        <w:tc>
          <w:tcPr>
            <w:tcW w:w="2430" w:type="dxa"/>
            <w:vAlign w:val="top"/>
          </w:tcPr>
          <w:p>
            <w:pPr>
              <w:jc w:val="center"/>
            </w:pPr>
          </w:p>
        </w:tc>
        <w:tc>
          <w:tcPr>
            <w:tcW w:w="2310" w:type="dxa"/>
            <w:vAlign w:val="top"/>
          </w:tcPr>
          <w:p>
            <w:pPr>
              <w:jc w:val="center"/>
            </w:pPr>
          </w:p>
        </w:tc>
        <w:tc>
          <w:tcPr>
            <w:tcW w:w="1225" w:type="dxa"/>
            <w:gridSpan w:val="2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jc w:val="center"/>
            </w:pPr>
            <w:r>
              <w:rPr>
                <w:rFonts w:ascii="Helvetica" w:hAnsi="Helvetica" w:cs="Helvetica"/>
                <w:color w:val="000000"/>
                <w:szCs w:val="21"/>
              </w:rPr>
              <w:t>党管政法的现状与改革</w:t>
            </w:r>
          </w:p>
        </w:tc>
        <w:tc>
          <w:tcPr>
            <w:tcW w:w="2430" w:type="dxa"/>
            <w:vAlign w:val="top"/>
          </w:tcPr>
          <w:p>
            <w:pPr>
              <w:ind w:firstLine="840" w:firstLineChars="400"/>
            </w:pPr>
          </w:p>
        </w:tc>
        <w:tc>
          <w:tcPr>
            <w:tcW w:w="2310" w:type="dxa"/>
            <w:vAlign w:val="top"/>
          </w:tcPr>
          <w:p>
            <w:pPr>
              <w:ind w:firstLine="1260" w:firstLineChars="600"/>
            </w:pPr>
          </w:p>
        </w:tc>
        <w:tc>
          <w:tcPr>
            <w:tcW w:w="1225" w:type="dxa"/>
            <w:gridSpan w:val="2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top"/>
          </w:tcPr>
          <w:p>
            <w:pPr>
              <w:jc w:val="center"/>
            </w:pPr>
            <w:r>
              <w:rPr>
                <w:rFonts w:ascii="Helvetica" w:hAnsi="Helvetica" w:cs="Helvetica"/>
                <w:color w:val="000000"/>
                <w:szCs w:val="21"/>
              </w:rPr>
              <w:t>司法人事制度的现状与改革</w:t>
            </w:r>
          </w:p>
        </w:tc>
        <w:tc>
          <w:tcPr>
            <w:tcW w:w="2430" w:type="dxa"/>
            <w:vAlign w:val="top"/>
          </w:tcPr>
          <w:p>
            <w:pPr>
              <w:ind w:firstLine="840" w:firstLineChars="400"/>
            </w:pPr>
          </w:p>
        </w:tc>
        <w:tc>
          <w:tcPr>
            <w:tcW w:w="2310" w:type="dxa"/>
            <w:vAlign w:val="top"/>
          </w:tcPr>
          <w:p>
            <w:pPr>
              <w:ind w:firstLine="1260" w:firstLineChars="600"/>
            </w:pPr>
          </w:p>
        </w:tc>
        <w:tc>
          <w:tcPr>
            <w:tcW w:w="1225" w:type="dxa"/>
            <w:gridSpan w:val="2"/>
            <w:vAlign w:val="top"/>
          </w:tcPr>
          <w:p>
            <w:pPr>
              <w:jc w:val="center"/>
            </w:pPr>
          </w:p>
        </w:tc>
      </w:tr>
    </w:tbl>
    <w:p>
      <w:pPr>
        <w:pStyle w:val="3"/>
        <w:jc w:val="left"/>
      </w:pPr>
      <w:r>
        <w:br w:type="page"/>
      </w:r>
      <w:r>
        <w:rPr>
          <w:rFonts w:hint="eastAsia"/>
        </w:rPr>
        <w:t>附：“公司法、证券法、期货法”三法修改专题选题参考</w:t>
      </w:r>
    </w:p>
    <w:p>
      <w:r>
        <w:rPr>
          <w:rFonts w:hint="eastAsia"/>
        </w:rPr>
        <w:t>（一）公司法</w:t>
      </w:r>
    </w:p>
    <w:p>
      <w:r>
        <w:rPr>
          <w:rFonts w:hint="eastAsia"/>
        </w:rPr>
        <w:t xml:space="preserve">    1. 公司的组织形式、种类（一人公司、国有独资公司、特殊目的公司等）与设立条件；</w:t>
      </w:r>
    </w:p>
    <w:p>
      <w:r>
        <w:rPr>
          <w:rFonts w:hint="eastAsia"/>
        </w:rPr>
        <w:t xml:space="preserve">    2. 公司资本制度的功能与改革；</w:t>
      </w:r>
    </w:p>
    <w:p>
      <w:r>
        <w:rPr>
          <w:rFonts w:hint="eastAsia"/>
        </w:rPr>
        <w:t xml:space="preserve">    3. 股东责任（隐名股东、出资责任、股东有限责任、股东加重责任、股东自担责任等）、公司社会责任的分析；</w:t>
      </w:r>
    </w:p>
    <w:p>
      <w:r>
        <w:rPr>
          <w:rFonts w:hint="eastAsia"/>
        </w:rPr>
        <w:t xml:space="preserve">    4. 公司治理机制的评估与改革（股东表决权与股东大会决议事项、独立董事的存废、董事责任、累积投票制、公开征集股东投票权、双层股权结构、混合所有制等）；</w:t>
      </w:r>
    </w:p>
    <w:p>
      <w:pPr>
        <w:ind w:firstLine="420"/>
      </w:pPr>
      <w:r>
        <w:rPr>
          <w:rFonts w:hint="eastAsia"/>
        </w:rPr>
        <w:t>5. 证券投资者保护（类别股、对赌协议、股权转让、公司兼并收购、破产清算等过程中）。</w:t>
      </w:r>
    </w:p>
    <w:p>
      <w:pPr>
        <w:ind w:firstLine="420"/>
      </w:pPr>
      <w:r>
        <w:rPr>
          <w:rFonts w:hint="eastAsia"/>
        </w:rPr>
        <w:t>6. 公司财务制度与财务会计准则的适用；</w:t>
      </w:r>
    </w:p>
    <w:p>
      <w:r>
        <w:rPr>
          <w:rFonts w:hint="eastAsia"/>
        </w:rPr>
        <w:t xml:space="preserve">    7. 公司法与证券法、金融机构监管法、国有资产管理法、企业合伙法、反垄断法、破产法、刑法等相关法律的关系与协调。</w:t>
      </w:r>
    </w:p>
    <w:p>
      <w:r>
        <w:rPr>
          <w:rFonts w:hint="eastAsia"/>
        </w:rPr>
        <w:t xml:space="preserve">    （二  ）证券法</w:t>
      </w:r>
    </w:p>
    <w:p>
      <w:r>
        <w:rPr>
          <w:rFonts w:hint="eastAsia"/>
        </w:rPr>
        <w:t xml:space="preserve">    1. 证券的定义与证券法的适用范围（资产证券化、金融理财产品等；资本市场、银行间债券交易市场）；</w:t>
      </w:r>
    </w:p>
    <w:p>
      <w:r>
        <w:rPr>
          <w:rFonts w:hint="eastAsia"/>
        </w:rPr>
        <w:t xml:space="preserve">    2. 股票注册制发行体制改革和证券发行豁免制度（私募发行、小额发行等）；</w:t>
      </w:r>
    </w:p>
    <w:p>
      <w:r>
        <w:rPr>
          <w:rFonts w:hint="eastAsia"/>
        </w:rPr>
        <w:t xml:space="preserve">    3. 债券品种创新、债券监管和债券市场改革；</w:t>
      </w:r>
    </w:p>
    <w:p>
      <w:r>
        <w:rPr>
          <w:rFonts w:hint="eastAsia"/>
        </w:rPr>
        <w:t xml:space="preserve">    4. 互联网金融的证券监管问题；</w:t>
      </w:r>
    </w:p>
    <w:p>
      <w:r>
        <w:rPr>
          <w:rFonts w:hint="eastAsia"/>
        </w:rPr>
        <w:t xml:space="preserve">    5. 证券市场中介的分类监管、业务规范与法律责任（交叉持牌与混业经营、证券经营机构与证券服务机构的区分和问责、业务创新与利益冲突防范等）；</w:t>
      </w:r>
    </w:p>
    <w:p>
      <w:r>
        <w:rPr>
          <w:rFonts w:hint="eastAsia"/>
        </w:rPr>
        <w:t xml:space="preserve">    6. 证券交易机制、多层次资本市场完善与转板机制建设问题（高频交易、量化交易、融资融券等）；</w:t>
      </w:r>
    </w:p>
    <w:p>
      <w:r>
        <w:rPr>
          <w:rFonts w:hint="eastAsia"/>
        </w:rPr>
        <w:t xml:space="preserve">    7.证券市场违法违规行为（非法集资、虚假陈述、内幕交易、操纵市场、新型违法违规行为等）认定与惩处；</w:t>
      </w:r>
    </w:p>
    <w:p>
      <w:r>
        <w:rPr>
          <w:rFonts w:hint="eastAsia"/>
        </w:rPr>
        <w:t xml:space="preserve">    8. 证券市场自律组织（证券交易所、各类行业协会等）的功能、自律监管与法律责任；</w:t>
      </w:r>
    </w:p>
    <w:p>
      <w:r>
        <w:rPr>
          <w:rFonts w:hint="eastAsia"/>
        </w:rPr>
        <w:t xml:space="preserve">    9. 证券市场对外开放及与国际接轨问题（海外上市、红筹回归、国际板、沪港通等）；</w:t>
      </w:r>
    </w:p>
    <w:p>
      <w:r>
        <w:rPr>
          <w:rFonts w:hint="eastAsia"/>
        </w:rPr>
        <w:t xml:space="preserve">    10 .证券投资者保护（投资者分类与适当性规则、客户交易结算资金第三方独立存管、证券投资者保护基金、证券投资者保护公司、证券民事损害赔偿诉讼等）；</w:t>
      </w:r>
    </w:p>
    <w:p>
      <w:r>
        <w:rPr>
          <w:rFonts w:hint="eastAsia"/>
        </w:rPr>
        <w:t xml:space="preserve">    11.证券执法机制（执法权、证券投资者补偿基金、证券和解制度等）、证券纠纷解决机制；</w:t>
      </w:r>
    </w:p>
    <w:p>
      <w:r>
        <w:rPr>
          <w:rFonts w:hint="eastAsia"/>
        </w:rPr>
        <w:t xml:space="preserve">    12. 证券监管机制改革（证监会的定性、职权、监管措施、监管绩效评估与问责、证券监管的对外协调与国际合作、反洗钱、证券市场系统性风险的处置等）。</w:t>
      </w:r>
    </w:p>
    <w:p>
      <w:r>
        <w:rPr>
          <w:rFonts w:hint="eastAsia"/>
        </w:rPr>
        <w:t xml:space="preserve">    （三）期货法</w:t>
      </w:r>
    </w:p>
    <w:p>
      <w:r>
        <w:rPr>
          <w:rFonts w:hint="eastAsia"/>
        </w:rPr>
        <w:t xml:space="preserve">    1. 期货的定义及其期货法的适用范围（与证券法的关系、场外衍生品）；</w:t>
      </w:r>
    </w:p>
    <w:p>
      <w:r>
        <w:rPr>
          <w:rFonts w:hint="eastAsia"/>
        </w:rPr>
        <w:t xml:space="preserve">    2. 期货经营机构的业务范围与期货交易的持牌经营及其风险防控；</w:t>
      </w:r>
    </w:p>
    <w:p>
      <w:r>
        <w:rPr>
          <w:rFonts w:hint="eastAsia"/>
        </w:rPr>
        <w:t xml:space="preserve">    3. 期货市场的信用交易与担保制度、期货市场做市商制度；</w:t>
      </w:r>
    </w:p>
    <w:p>
      <w:r>
        <w:rPr>
          <w:rFonts w:hint="eastAsia"/>
        </w:rPr>
        <w:t xml:space="preserve">    4. 期货交易所监管、期货交易保证金的性质问题、期货交易集中清算与结算资金的特别保护问题；</w:t>
      </w:r>
    </w:p>
    <w:p>
      <w:r>
        <w:rPr>
          <w:rFonts w:hint="eastAsia"/>
        </w:rPr>
        <w:t xml:space="preserve">    5. 强行平仓制度、强制减仓制度；</w:t>
      </w:r>
    </w:p>
    <w:p>
      <w:r>
        <w:rPr>
          <w:rFonts w:hint="eastAsia"/>
        </w:rPr>
        <w:t xml:space="preserve">    6. 期货投资者保护（期货交易投资者适当性、跨境期货交易中的投资中保护等）；</w:t>
      </w:r>
    </w:p>
    <w:p>
      <w:r>
        <w:rPr>
          <w:rFonts w:hint="eastAsia"/>
        </w:rPr>
        <w:t xml:space="preserve">    7. 期货市场违法违规行为的认定、处罚与纠纷解决、民事赔偿责任；</w:t>
      </w:r>
    </w:p>
    <w:p>
      <w:r>
        <w:rPr>
          <w:rFonts w:hint="eastAsia"/>
        </w:rPr>
        <w:t xml:space="preserve">    8. 现货市场与期货市场的跨市场监管问题；期货监管机制及其改革；</w:t>
      </w:r>
    </w:p>
    <w:p>
      <w:r>
        <w:rPr>
          <w:rFonts w:hint="eastAsia"/>
        </w:rPr>
        <w:t xml:space="preserve">    9.期货法与合同法、物权法、担保法、破产法等的协调。</w:t>
      </w:r>
    </w:p>
    <w:p>
      <w:pPr>
        <w:widowControl/>
        <w:jc w:val="left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0000019F" w:csb1="00000000"/>
  </w:font>
  <w:font w:name="Heiti SC Light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Microsoft Sans Serif"/>
    <w:panose1 w:val="020B0604020202020204"/>
    <w:charset w:val="00"/>
    <w:family w:val="auto"/>
    <w:pitch w:val="default"/>
    <w:sig w:usb0="E0002AFF" w:usb1="C0007843" w:usb2="00000009" w:usb3="00000000" w:csb0="0000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dobe 仿宋 Std R">
    <w:panose1 w:val="02020400000000000000"/>
    <w:charset w:val="00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firstLine="4320" w:firstLineChars="2400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/>
      <w:b/>
      <w:bCs/>
      <w:sz w:val="32"/>
      <w:szCs w:val="32"/>
    </w:rPr>
  </w:style>
  <w:style w:type="paragraph" w:styleId="3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p17"/>
    <w:basedOn w:val="1"/>
    <w:uiPriority w:val="0"/>
    <w:pPr>
      <w:widowControl/>
      <w:jc w:val="left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No Spacing"/>
    <w:qFormat/>
    <w:uiPriority w:val="1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12">
    <w:name w:val="16"/>
    <w:basedOn w:val="7"/>
    <w:uiPriority w:val="0"/>
    <w:rPr>
      <w:rFonts w:hint="default" w:ascii="Times New Roman" w:hAnsi="Times New Roman" w:cs="Times New Roman"/>
      <w:color w:val="0000FF"/>
      <w:sz w:val="20"/>
      <w:szCs w:val="20"/>
      <w:u w:val="single"/>
    </w:rPr>
  </w:style>
  <w:style w:type="character" w:customStyle="1" w:styleId="13">
    <w:name w:val="标题 2 Char"/>
    <w:basedOn w:val="7"/>
    <w:link w:val="2"/>
    <w:uiPriority w:val="9"/>
    <w:rPr>
      <w:rFonts w:ascii="Calibri Light" w:hAnsi="Calibri Light" w:eastAsia="宋体"/>
      <w:b/>
      <w:bCs/>
      <w:sz w:val="32"/>
      <w:szCs w:val="32"/>
    </w:rPr>
  </w:style>
  <w:style w:type="character" w:customStyle="1" w:styleId="14">
    <w:name w:val="标题 3 Char"/>
    <w:basedOn w:val="7"/>
    <w:link w:val="3"/>
    <w:uiPriority w:val="9"/>
    <w:rPr>
      <w:b/>
      <w:bCs/>
      <w:sz w:val="32"/>
      <w:szCs w:val="32"/>
    </w:rPr>
  </w:style>
  <w:style w:type="character" w:customStyle="1" w:styleId="15">
    <w:name w:val="HTML 预设格式 Char"/>
    <w:basedOn w:val="7"/>
    <w:link w:val="6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Char"/>
    <w:basedOn w:val="7"/>
    <w:link w:val="5"/>
    <w:uiPriority w:val="99"/>
    <w:rPr>
      <w:sz w:val="18"/>
      <w:szCs w:val="18"/>
    </w:rPr>
  </w:style>
  <w:style w:type="character" w:customStyle="1" w:styleId="17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415</Words>
  <Characters>2368</Characters>
  <Lines>19</Lines>
  <Paragraphs>5</Paragraphs>
  <TotalTime>0</TotalTime>
  <ScaleCrop>false</ScaleCrop>
  <LinksUpToDate>false</LinksUpToDate>
  <CharactersWithSpaces>0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2014-10-23T01:48:00Z</dcterms:created>
  <dc:creator>admin</dc:creator>
  <cp:lastModifiedBy>apple</cp:lastModifiedBy>
  <dcterms:modified xsi:type="dcterms:W3CDTF">2014-10-31T06:57:20Z</dcterms:modified>
  <dc:title>法学院挑战杯招标相关课题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