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54085F" w14:textId="6FA01271" w:rsidR="00606487" w:rsidRDefault="005D365F" w:rsidP="00AE3834">
      <w:pPr>
        <w:jc w:val="center"/>
        <w:rPr>
          <w:rFonts w:hint="eastAsia"/>
          <w:b/>
          <w:sz w:val="32"/>
          <w:szCs w:val="32"/>
        </w:rPr>
      </w:pPr>
      <w:r>
        <w:rPr>
          <w:b/>
          <w:sz w:val="32"/>
          <w:szCs w:val="32"/>
        </w:rPr>
        <w:t>法学院</w:t>
      </w:r>
      <w:r>
        <w:rPr>
          <w:rFonts w:hint="eastAsia"/>
          <w:b/>
          <w:sz w:val="32"/>
          <w:szCs w:val="32"/>
        </w:rPr>
        <w:t>挑战杯招标相关课题</w:t>
      </w:r>
    </w:p>
    <w:p w14:paraId="6AF06AB7" w14:textId="77777777" w:rsidR="00AE3834" w:rsidRPr="00AE3834" w:rsidRDefault="00AE3834" w:rsidP="00AE3834">
      <w:pPr>
        <w:jc w:val="center"/>
        <w:rPr>
          <w:b/>
          <w:sz w:val="32"/>
          <w:szCs w:val="32"/>
        </w:rPr>
      </w:pPr>
    </w:p>
    <w:tbl>
      <w:tblPr>
        <w:tblW w:w="893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402"/>
        <w:gridCol w:w="3260"/>
        <w:gridCol w:w="709"/>
      </w:tblGrid>
      <w:tr w:rsidR="005E77F0" w14:paraId="52D40ABF" w14:textId="77777777" w:rsidTr="005E77F0">
        <w:tc>
          <w:tcPr>
            <w:tcW w:w="1560" w:type="dxa"/>
          </w:tcPr>
          <w:p w14:paraId="4CD216B4" w14:textId="77777777" w:rsidR="005E77F0" w:rsidRDefault="005E77F0" w:rsidP="00A16B93">
            <w:pPr>
              <w:jc w:val="center"/>
              <w:rPr>
                <w:sz w:val="24"/>
                <w:szCs w:val="24"/>
              </w:rPr>
            </w:pPr>
          </w:p>
          <w:p w14:paraId="32BDCA56" w14:textId="77777777" w:rsidR="005E77F0" w:rsidRDefault="005E77F0" w:rsidP="00A16B93">
            <w:pPr>
              <w:jc w:val="center"/>
              <w:rPr>
                <w:sz w:val="24"/>
                <w:szCs w:val="24"/>
              </w:rPr>
            </w:pPr>
            <w:r>
              <w:rPr>
                <w:rFonts w:hint="eastAsia"/>
                <w:sz w:val="24"/>
                <w:szCs w:val="24"/>
              </w:rPr>
              <w:t>课题名称</w:t>
            </w:r>
          </w:p>
        </w:tc>
        <w:tc>
          <w:tcPr>
            <w:tcW w:w="3402" w:type="dxa"/>
          </w:tcPr>
          <w:p w14:paraId="36082201" w14:textId="77777777" w:rsidR="005E77F0" w:rsidRDefault="005E77F0">
            <w:pPr>
              <w:jc w:val="center"/>
              <w:rPr>
                <w:sz w:val="24"/>
              </w:rPr>
            </w:pPr>
          </w:p>
          <w:p w14:paraId="710D5541" w14:textId="77777777" w:rsidR="005E77F0" w:rsidRDefault="005E77F0">
            <w:pPr>
              <w:jc w:val="center"/>
            </w:pPr>
            <w:r>
              <w:rPr>
                <w:rFonts w:hint="eastAsia"/>
                <w:sz w:val="24"/>
              </w:rPr>
              <w:t>课题内容及难点提示</w:t>
            </w:r>
          </w:p>
        </w:tc>
        <w:tc>
          <w:tcPr>
            <w:tcW w:w="3260" w:type="dxa"/>
          </w:tcPr>
          <w:p w14:paraId="278C971A" w14:textId="77777777" w:rsidR="005E77F0" w:rsidRDefault="005E77F0">
            <w:pPr>
              <w:rPr>
                <w:sz w:val="24"/>
              </w:rPr>
            </w:pPr>
          </w:p>
          <w:p w14:paraId="578D76EB" w14:textId="77777777" w:rsidR="005E77F0" w:rsidRDefault="005E77F0">
            <w:r>
              <w:rPr>
                <w:rFonts w:hint="eastAsia"/>
                <w:sz w:val="24"/>
              </w:rPr>
              <w:t>课题研究方法</w:t>
            </w:r>
          </w:p>
        </w:tc>
        <w:tc>
          <w:tcPr>
            <w:tcW w:w="709" w:type="dxa"/>
          </w:tcPr>
          <w:p w14:paraId="2DF16752" w14:textId="77777777" w:rsidR="005E77F0" w:rsidRDefault="005E77F0">
            <w:pPr>
              <w:rPr>
                <w:sz w:val="24"/>
              </w:rPr>
            </w:pPr>
          </w:p>
          <w:p w14:paraId="21158D22" w14:textId="77777777" w:rsidR="005E77F0" w:rsidRDefault="005E77F0">
            <w:r>
              <w:rPr>
                <w:rFonts w:hint="eastAsia"/>
                <w:sz w:val="24"/>
              </w:rPr>
              <w:t>指导老师</w:t>
            </w:r>
          </w:p>
        </w:tc>
      </w:tr>
      <w:tr w:rsidR="005E77F0" w14:paraId="03C7A8DC" w14:textId="77777777" w:rsidTr="00AE3834">
        <w:trPr>
          <w:trHeight w:val="1906"/>
        </w:trPr>
        <w:tc>
          <w:tcPr>
            <w:tcW w:w="1560" w:type="dxa"/>
          </w:tcPr>
          <w:p w14:paraId="2BAD2079" w14:textId="1C291888" w:rsidR="005E77F0" w:rsidRPr="00652084" w:rsidRDefault="00AE3834" w:rsidP="00AE3834">
            <w:pPr>
              <w:rPr>
                <w:rFonts w:ascii="宋体" w:hAnsi="宋体"/>
                <w:szCs w:val="21"/>
              </w:rPr>
            </w:pPr>
            <w:r w:rsidRPr="00652084">
              <w:rPr>
                <w:rFonts w:ascii="宋体" w:hAnsi="宋体" w:hint="eastAsia"/>
                <w:kern w:val="0"/>
                <w:szCs w:val="21"/>
              </w:rPr>
              <w:t>保障性住房购买和租赁合同中关于行政处罚的规定的性质与适用</w:t>
            </w:r>
          </w:p>
          <w:p w14:paraId="2BC388B1" w14:textId="77777777" w:rsidR="005E77F0" w:rsidRDefault="005E77F0" w:rsidP="00A16B93">
            <w:pPr>
              <w:jc w:val="center"/>
              <w:rPr>
                <w:rFonts w:ascii="宋体" w:hAnsi="宋体"/>
                <w:sz w:val="20"/>
                <w:szCs w:val="20"/>
              </w:rPr>
            </w:pPr>
          </w:p>
        </w:tc>
        <w:tc>
          <w:tcPr>
            <w:tcW w:w="3402" w:type="dxa"/>
          </w:tcPr>
          <w:p w14:paraId="7D8001EC" w14:textId="6A7C8E9A" w:rsidR="005E77F0" w:rsidRPr="00652084" w:rsidRDefault="00AE3834" w:rsidP="00AE3834">
            <w:pPr>
              <w:rPr>
                <w:rFonts w:ascii="宋体" w:hAnsi="宋体"/>
                <w:szCs w:val="21"/>
              </w:rPr>
            </w:pPr>
            <w:r w:rsidRPr="00652084">
              <w:rPr>
                <w:rFonts w:ascii="宋体" w:hAnsi="宋体" w:hint="eastAsia"/>
                <w:kern w:val="0"/>
                <w:szCs w:val="21"/>
              </w:rPr>
              <w:t>保障性住房的购买和租赁合同中往往会依据相关的规定要求被保障对象在购买和承租保障性住房后遵循一系列的规定，并将相关的行政处罚照搬到合同文本中。这种约定是否会影响相关处罚的适用？</w:t>
            </w:r>
          </w:p>
        </w:tc>
        <w:tc>
          <w:tcPr>
            <w:tcW w:w="3260" w:type="dxa"/>
          </w:tcPr>
          <w:p w14:paraId="73FF0D39" w14:textId="47BE65B7" w:rsidR="005E77F0" w:rsidRPr="00652084" w:rsidRDefault="00AE3834" w:rsidP="005D365F">
            <w:pPr>
              <w:rPr>
                <w:rFonts w:ascii="宋体" w:hAnsi="宋体"/>
                <w:szCs w:val="21"/>
              </w:rPr>
            </w:pPr>
            <w:r w:rsidRPr="00652084">
              <w:rPr>
                <w:rFonts w:ascii="宋体" w:hAnsi="宋体" w:hint="eastAsia"/>
                <w:kern w:val="0"/>
                <w:szCs w:val="21"/>
              </w:rPr>
              <w:t>从民、行交叉的协议的定性出发，讨论相关的问题。此外，案例的收集和整理、地方有关协议文本的分析也会对研究有所帮助。</w:t>
            </w:r>
          </w:p>
        </w:tc>
        <w:tc>
          <w:tcPr>
            <w:tcW w:w="709" w:type="dxa"/>
          </w:tcPr>
          <w:p w14:paraId="1F87D0A5" w14:textId="77777777" w:rsidR="005E77F0" w:rsidRDefault="005E77F0">
            <w:pPr>
              <w:jc w:val="center"/>
              <w:rPr>
                <w:sz w:val="20"/>
                <w:szCs w:val="20"/>
              </w:rPr>
            </w:pPr>
            <w:r>
              <w:rPr>
                <w:rFonts w:hint="eastAsia"/>
                <w:sz w:val="20"/>
                <w:szCs w:val="20"/>
              </w:rPr>
              <w:t>有</w:t>
            </w:r>
          </w:p>
          <w:p w14:paraId="385C1CF6" w14:textId="77777777" w:rsidR="005E77F0" w:rsidRDefault="005E77F0" w:rsidP="005D365F"/>
          <w:p w14:paraId="40CFED19" w14:textId="77777777" w:rsidR="005E77F0" w:rsidRDefault="005E77F0" w:rsidP="00A16B93">
            <w:pPr>
              <w:rPr>
                <w:sz w:val="20"/>
                <w:szCs w:val="20"/>
              </w:rPr>
            </w:pPr>
          </w:p>
        </w:tc>
      </w:tr>
      <w:tr w:rsidR="005E77F0" w14:paraId="141D2E47" w14:textId="77777777" w:rsidTr="005E77F0">
        <w:tc>
          <w:tcPr>
            <w:tcW w:w="1560" w:type="dxa"/>
          </w:tcPr>
          <w:p w14:paraId="1DA5AC0F" w14:textId="71572270" w:rsidR="005E77F0" w:rsidRPr="00652084" w:rsidRDefault="00AE3834" w:rsidP="00A16B93">
            <w:pPr>
              <w:jc w:val="center"/>
              <w:rPr>
                <w:rFonts w:ascii="宋体" w:hAnsi="宋体"/>
                <w:szCs w:val="21"/>
              </w:rPr>
            </w:pPr>
            <w:r w:rsidRPr="00652084">
              <w:rPr>
                <w:rFonts w:ascii="宋体" w:hAnsi="宋体" w:hint="eastAsia"/>
                <w:kern w:val="0"/>
                <w:szCs w:val="21"/>
              </w:rPr>
              <w:t>环境保护税的改革与立法路径探究</w:t>
            </w:r>
          </w:p>
        </w:tc>
        <w:tc>
          <w:tcPr>
            <w:tcW w:w="3402" w:type="dxa"/>
          </w:tcPr>
          <w:p w14:paraId="21C5D004" w14:textId="77777777" w:rsidR="005E77F0" w:rsidRPr="00652084" w:rsidRDefault="00AE3834" w:rsidP="005D365F">
            <w:pPr>
              <w:rPr>
                <w:rFonts w:ascii="宋体" w:hAnsi="宋体" w:hint="eastAsia"/>
                <w:kern w:val="0"/>
                <w:szCs w:val="21"/>
              </w:rPr>
            </w:pPr>
            <w:r w:rsidRPr="00652084">
              <w:rPr>
                <w:rFonts w:ascii="宋体" w:hAnsi="宋体" w:hint="eastAsia"/>
                <w:kern w:val="0"/>
                <w:szCs w:val="21"/>
              </w:rPr>
              <w:t>环境税制改革是我国建立现代税收体系的重要内容，《环境保护税法》的立法工作也正在进行。环境保护税不仅因应了环保和“绿色发展”的经济社会发展要求，而且其作为地方税，具有筹集地方财政收入的功能。目前基本上采取了“税费平移”的改革思路，但关于环境税的功能、体系、税收要素、税收征管以及立法授权等诸多问题，其实还有待更深入的研究。</w:t>
            </w:r>
          </w:p>
          <w:p w14:paraId="12862CAE" w14:textId="53FC8963" w:rsidR="00AE3834" w:rsidRPr="00652084" w:rsidRDefault="00AE3834" w:rsidP="005D365F">
            <w:pPr>
              <w:rPr>
                <w:rFonts w:ascii="宋体" w:hAnsi="宋体"/>
                <w:szCs w:val="21"/>
              </w:rPr>
            </w:pPr>
            <w:r w:rsidRPr="00652084">
              <w:rPr>
                <w:rFonts w:ascii="宋体" w:hAnsi="宋体" w:hint="eastAsia"/>
                <w:kern w:val="0"/>
                <w:szCs w:val="21"/>
              </w:rPr>
              <w:t>这项研究的难点包括但不限于：第一，如何定位环境保护税的功能？即如何协调该税种的调节功能与收入功能？第二，如何处理环境保护税与资源税、消费税、车船税等相关税种之间的关系？如何构建一个完整的环境税体系？第三，能否简单地将目前的排污费的制度设计平移到环境保护税之上？环境保护税的纳税人、税基、税率、税收优惠等基本税收要素应当怎么设计？第四，对于环境保护税的征收管理，如何解决环保部门与税务部门之间的冲突与合作问题？第五，在环境保护税立法的过程中，如何合理地进行税收立法权的纵向分配？其作为一种地方税，应当遵循怎样的税收授权立法规则？</w:t>
            </w:r>
          </w:p>
        </w:tc>
        <w:tc>
          <w:tcPr>
            <w:tcW w:w="3260" w:type="dxa"/>
          </w:tcPr>
          <w:p w14:paraId="406CB8CC" w14:textId="407F4425" w:rsidR="005E77F0" w:rsidRPr="00652084" w:rsidRDefault="00AE3834" w:rsidP="005D365F">
            <w:pPr>
              <w:rPr>
                <w:rFonts w:ascii="宋体" w:hAnsi="宋体"/>
                <w:szCs w:val="21"/>
              </w:rPr>
            </w:pPr>
            <w:r w:rsidRPr="00652084">
              <w:rPr>
                <w:rFonts w:ascii="宋体" w:hAnsi="宋体" w:hint="eastAsia"/>
                <w:kern w:val="0"/>
                <w:szCs w:val="21"/>
              </w:rPr>
              <w:t>对于本课题的研究方法，第一，建议学生在研究过程中，不仅要关注财税法以及行政法等法学领域的文献资料，还要关注税收学、财政学、社会学、管理学等邻近学科的研究成果，开阔视野，进行综合性的分析。第二，建议学生运用比较法的分析方法，引介一些典型国家的环境税制状况，并就其对我国的启示、适用性和可借鉴之处进行批判性研究。第三，建议学生做到理论与实践相结合，多搜集我国的数据、案例等现实资料，加强实证分析，使研究成果更好地契合于和贡献于实际。</w:t>
            </w:r>
          </w:p>
        </w:tc>
        <w:tc>
          <w:tcPr>
            <w:tcW w:w="709" w:type="dxa"/>
          </w:tcPr>
          <w:p w14:paraId="0BF6BF7F" w14:textId="77777777" w:rsidR="005E77F0" w:rsidRDefault="005E77F0" w:rsidP="00A16B93">
            <w:pPr>
              <w:jc w:val="center"/>
              <w:rPr>
                <w:sz w:val="20"/>
              </w:rPr>
            </w:pPr>
            <w:r>
              <w:rPr>
                <w:rFonts w:hint="eastAsia"/>
                <w:sz w:val="20"/>
                <w:szCs w:val="20"/>
              </w:rPr>
              <w:t>有</w:t>
            </w:r>
          </w:p>
        </w:tc>
      </w:tr>
    </w:tbl>
    <w:p w14:paraId="07BEE2E0" w14:textId="77777777" w:rsidR="00A16B93" w:rsidRDefault="00A16B93" w:rsidP="00A16B93"/>
    <w:p w14:paraId="04228551" w14:textId="77777777" w:rsidR="00AE3834" w:rsidRDefault="00AE3834" w:rsidP="00A16B93">
      <w:pPr>
        <w:rPr>
          <w:rFonts w:hint="eastAsia"/>
          <w:color w:val="FF0000"/>
        </w:rPr>
      </w:pPr>
    </w:p>
    <w:p w14:paraId="0A8B0A11" w14:textId="208B9978" w:rsidR="00D70C5F" w:rsidRPr="00652084" w:rsidRDefault="00AE3834" w:rsidP="00A16B93">
      <w:pPr>
        <w:rPr>
          <w:rFonts w:ascii="宋体" w:hAnsi="宋体" w:hint="eastAsia"/>
        </w:rPr>
      </w:pPr>
      <w:r w:rsidRPr="00652084">
        <w:rPr>
          <w:rFonts w:ascii="宋体" w:hAnsi="宋体" w:hint="eastAsia"/>
        </w:rPr>
        <w:lastRenderedPageBreak/>
        <w:t>另有5个选题思路</w:t>
      </w:r>
    </w:p>
    <w:p w14:paraId="12B9189D" w14:textId="65738F3B" w:rsidR="00AE3834" w:rsidRPr="00652084" w:rsidRDefault="00AE3834" w:rsidP="00AE3834">
      <w:pPr>
        <w:numPr>
          <w:ilvl w:val="0"/>
          <w:numId w:val="1"/>
        </w:numPr>
        <w:rPr>
          <w:rFonts w:ascii="宋体" w:hAnsi="宋体" w:hint="eastAsia"/>
        </w:rPr>
      </w:pPr>
      <w:r w:rsidRPr="00652084">
        <w:rPr>
          <w:rFonts w:ascii="宋体" w:hAnsi="宋体" w:hint="eastAsia"/>
        </w:rPr>
        <w:t>人工智能时代的法律挑战</w:t>
      </w:r>
    </w:p>
    <w:p w14:paraId="3484CB2F" w14:textId="2153E84C" w:rsidR="00AE3834" w:rsidRPr="00652084" w:rsidRDefault="00AE3834" w:rsidP="00AE3834">
      <w:pPr>
        <w:numPr>
          <w:ilvl w:val="0"/>
          <w:numId w:val="1"/>
        </w:numPr>
        <w:rPr>
          <w:rFonts w:ascii="宋体" w:hAnsi="宋体" w:hint="eastAsia"/>
        </w:rPr>
      </w:pPr>
      <w:r w:rsidRPr="00652084">
        <w:rPr>
          <w:rFonts w:ascii="宋体" w:hAnsi="宋体" w:hint="eastAsia"/>
        </w:rPr>
        <w:t>科技、伦理与法律</w:t>
      </w:r>
    </w:p>
    <w:p w14:paraId="2B035D70" w14:textId="0544478B" w:rsidR="00AE3834" w:rsidRPr="00652084" w:rsidRDefault="00AE3834" w:rsidP="00AE3834">
      <w:pPr>
        <w:numPr>
          <w:ilvl w:val="0"/>
          <w:numId w:val="1"/>
        </w:numPr>
        <w:rPr>
          <w:rFonts w:ascii="宋体" w:hAnsi="宋体" w:hint="eastAsia"/>
        </w:rPr>
      </w:pPr>
      <w:r w:rsidRPr="00652084">
        <w:rPr>
          <w:rFonts w:ascii="宋体" w:hAnsi="宋体" w:hint="eastAsia"/>
        </w:rPr>
        <w:t>大数据交易的法律基础</w:t>
      </w:r>
    </w:p>
    <w:p w14:paraId="27796482" w14:textId="4E6C6A3F" w:rsidR="00AE3834" w:rsidRPr="00652084" w:rsidRDefault="00AE3834" w:rsidP="00AE3834">
      <w:pPr>
        <w:numPr>
          <w:ilvl w:val="0"/>
          <w:numId w:val="1"/>
        </w:numPr>
        <w:rPr>
          <w:rFonts w:ascii="宋体" w:hAnsi="宋体" w:hint="eastAsia"/>
        </w:rPr>
      </w:pPr>
      <w:r w:rsidRPr="00652084">
        <w:rPr>
          <w:rFonts w:ascii="宋体" w:hAnsi="宋体" w:hint="eastAsia"/>
        </w:rPr>
        <w:t>个人信息的法律保护：民法、刑法、行政法</w:t>
      </w:r>
    </w:p>
    <w:p w14:paraId="5A12F154" w14:textId="7EFB2760" w:rsidR="00BD7F01" w:rsidRPr="00AE3834" w:rsidRDefault="00AE3834" w:rsidP="00BD7F01">
      <w:pPr>
        <w:numPr>
          <w:ilvl w:val="0"/>
          <w:numId w:val="1"/>
        </w:numPr>
      </w:pPr>
      <w:r w:rsidRPr="00652084">
        <w:rPr>
          <w:rFonts w:ascii="宋体" w:hAnsi="宋体" w:hint="eastAsia"/>
        </w:rPr>
        <w:t>结合贾敬龙案，再次讨论死刑</w:t>
      </w:r>
      <w:bookmarkStart w:id="0" w:name="_GoBack"/>
      <w:bookmarkEnd w:id="0"/>
      <w:r w:rsidRPr="00652084">
        <w:rPr>
          <w:rFonts w:ascii="宋体" w:hAnsi="宋体" w:hint="eastAsia"/>
        </w:rPr>
        <w:t>存废问题</w:t>
      </w:r>
      <w:r w:rsidR="00BD7F01" w:rsidRPr="00AE3834">
        <w:br w:type="page"/>
      </w:r>
    </w:p>
    <w:p w14:paraId="28AC06CE" w14:textId="77777777" w:rsidR="00606487" w:rsidRDefault="00606487" w:rsidP="00D70C5F"/>
    <w:p w14:paraId="6A8DE03B" w14:textId="77777777" w:rsidR="00B653B7" w:rsidRDefault="00B653B7">
      <w:pPr>
        <w:widowControl/>
        <w:jc w:val="left"/>
      </w:pPr>
    </w:p>
    <w:sectPr w:rsidR="00B653B7">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D6127C" w14:textId="77777777" w:rsidR="00652084" w:rsidRDefault="00652084">
      <w:r>
        <w:separator/>
      </w:r>
    </w:p>
  </w:endnote>
  <w:endnote w:type="continuationSeparator" w:id="0">
    <w:p w14:paraId="4F15A79D" w14:textId="77777777" w:rsidR="00652084" w:rsidRDefault="006520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altName w:val="Consolas"/>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B6FE43" w14:textId="77777777" w:rsidR="00BB1AF7" w:rsidRDefault="00BB1AF7">
    <w:pPr>
      <w:pStyle w:val="a3"/>
      <w:ind w:firstLineChars="2400" w:firstLine="4320"/>
    </w:pPr>
    <w:r>
      <w:fldChar w:fldCharType="begin"/>
    </w:r>
    <w:r>
      <w:instrText>PAGE   \* MERGEFORMAT</w:instrText>
    </w:r>
    <w:r>
      <w:fldChar w:fldCharType="separate"/>
    </w:r>
    <w:r w:rsidR="00AE3834" w:rsidRPr="00AE3834">
      <w:rPr>
        <w:noProof/>
        <w:lang w:val="zh-CN"/>
      </w:rPr>
      <w:t>2</w:t>
    </w:r>
    <w:r>
      <w:fldChar w:fldCharType="end"/>
    </w:r>
  </w:p>
  <w:p w14:paraId="39453844" w14:textId="77777777" w:rsidR="00BB1AF7" w:rsidRDefault="00BB1AF7">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2FDDB0" w14:textId="77777777" w:rsidR="00652084" w:rsidRDefault="00652084">
      <w:r>
        <w:separator/>
      </w:r>
    </w:p>
  </w:footnote>
  <w:footnote w:type="continuationSeparator" w:id="0">
    <w:p w14:paraId="7D3CD066" w14:textId="77777777" w:rsidR="00652084" w:rsidRDefault="0065208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153787"/>
    <w:multiLevelType w:val="hybridMultilevel"/>
    <w:tmpl w:val="758C099E"/>
    <w:lvl w:ilvl="0" w:tplc="BC34B88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oNotTrackMoves/>
  <w:defaultTabStop w:val="420"/>
  <w:drawingGridHorizontalSpacing w:val="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653B7"/>
    <w:rsid w:val="00160D5E"/>
    <w:rsid w:val="00226E57"/>
    <w:rsid w:val="003720A3"/>
    <w:rsid w:val="005D365F"/>
    <w:rsid w:val="005E77F0"/>
    <w:rsid w:val="00606487"/>
    <w:rsid w:val="006364F4"/>
    <w:rsid w:val="00652084"/>
    <w:rsid w:val="007B6A48"/>
    <w:rsid w:val="00A16B93"/>
    <w:rsid w:val="00AE3834"/>
    <w:rsid w:val="00B653B7"/>
    <w:rsid w:val="00BB1AF7"/>
    <w:rsid w:val="00BD7F01"/>
    <w:rsid w:val="00C45D62"/>
    <w:rsid w:val="00D23813"/>
    <w:rsid w:val="00D70C5F"/>
    <w:rsid w:val="00F65670"/>
    <w:rsid w:val="00F965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40A26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lsdException w:name="footer" w:semiHidden="0" w:uiPriority="9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HTML Preformatted" w:semiHidden="0"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uiPriority="99"/>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kern w:val="2"/>
      <w:sz w:val="21"/>
      <w:szCs w:val="22"/>
    </w:rPr>
  </w:style>
  <w:style w:type="paragraph" w:styleId="2">
    <w:name w:val="heading 2"/>
    <w:basedOn w:val="a"/>
    <w:next w:val="a"/>
    <w:link w:val="2Char"/>
    <w:uiPriority w:val="9"/>
    <w:unhideWhenUsed/>
    <w:qFormat/>
    <w:pPr>
      <w:keepNext/>
      <w:keepLines/>
      <w:spacing w:before="260" w:after="260" w:line="416" w:lineRule="auto"/>
      <w:outlineLvl w:val="1"/>
    </w:pPr>
    <w:rPr>
      <w:rFonts w:ascii="Calibri Light" w:hAnsi="Calibri Light"/>
      <w:b/>
      <w:bCs/>
      <w:sz w:val="32"/>
      <w:szCs w:val="32"/>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Char"/>
    <w:uiPriority w:val="99"/>
    <w:unhideWhenUs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styleId="a5">
    <w:name w:val="Hyperlink"/>
    <w:rPr>
      <w:color w:val="0000FF"/>
      <w:u w:val="single"/>
    </w:rPr>
  </w:style>
  <w:style w:type="paragraph" w:customStyle="1" w:styleId="p17">
    <w:name w:val="p17"/>
    <w:basedOn w:val="a"/>
    <w:pPr>
      <w:widowControl/>
      <w:jc w:val="left"/>
    </w:pPr>
    <w:rPr>
      <w:rFonts w:cs="宋体"/>
      <w:kern w:val="0"/>
      <w:sz w:val="18"/>
      <w:szCs w:val="18"/>
    </w:rPr>
  </w:style>
  <w:style w:type="paragraph" w:customStyle="1" w:styleId="1">
    <w:name w:val="列出段落1"/>
    <w:basedOn w:val="a"/>
    <w:uiPriority w:val="34"/>
    <w:qFormat/>
    <w:pPr>
      <w:ind w:firstLineChars="200" w:firstLine="420"/>
    </w:pPr>
  </w:style>
  <w:style w:type="paragraph" w:customStyle="1" w:styleId="10">
    <w:name w:val="无间距1"/>
    <w:uiPriority w:val="1"/>
    <w:qFormat/>
    <w:pPr>
      <w:widowControl w:val="0"/>
      <w:jc w:val="both"/>
    </w:pPr>
    <w:rPr>
      <w:rFonts w:ascii="Calibri" w:hAnsi="Calibri"/>
      <w:kern w:val="2"/>
      <w:sz w:val="21"/>
      <w:szCs w:val="22"/>
    </w:rPr>
  </w:style>
  <w:style w:type="character" w:customStyle="1" w:styleId="16">
    <w:name w:val="16"/>
    <w:rPr>
      <w:rFonts w:ascii="Times New Roman" w:hAnsi="Times New Roman" w:cs="Times New Roman" w:hint="default"/>
      <w:color w:val="0000FF"/>
      <w:sz w:val="20"/>
      <w:szCs w:val="20"/>
      <w:u w:val="single"/>
    </w:rPr>
  </w:style>
  <w:style w:type="character" w:customStyle="1" w:styleId="2Char">
    <w:name w:val="标题 2 Char"/>
    <w:link w:val="2"/>
    <w:uiPriority w:val="9"/>
    <w:rPr>
      <w:rFonts w:ascii="Calibri Light" w:eastAsia="宋体" w:hAnsi="Calibri Light"/>
      <w:b/>
      <w:bCs/>
      <w:sz w:val="32"/>
      <w:szCs w:val="32"/>
    </w:rPr>
  </w:style>
  <w:style w:type="character" w:customStyle="1" w:styleId="3Char">
    <w:name w:val="标题 3 Char"/>
    <w:link w:val="3"/>
    <w:uiPriority w:val="9"/>
    <w:rPr>
      <w:b/>
      <w:bCs/>
      <w:sz w:val="32"/>
      <w:szCs w:val="32"/>
    </w:rPr>
  </w:style>
  <w:style w:type="character" w:customStyle="1" w:styleId="HTMLChar">
    <w:name w:val="HTML 预设格式 Char"/>
    <w:link w:val="HTML"/>
    <w:uiPriority w:val="99"/>
    <w:rPr>
      <w:rFonts w:ascii="宋体" w:eastAsia="宋体" w:hAnsi="宋体" w:cs="宋体"/>
      <w:kern w:val="0"/>
      <w:sz w:val="24"/>
      <w:szCs w:val="24"/>
    </w:rPr>
  </w:style>
  <w:style w:type="character" w:customStyle="1" w:styleId="Char0">
    <w:name w:val="页眉 Char"/>
    <w:link w:val="a4"/>
    <w:uiPriority w:val="99"/>
    <w:rPr>
      <w:sz w:val="18"/>
      <w:szCs w:val="18"/>
    </w:rPr>
  </w:style>
  <w:style w:type="character" w:customStyle="1" w:styleId="Char">
    <w:name w:val="页脚 Char"/>
    <w:link w:val="a3"/>
    <w:uiPriority w:val="9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162</TotalTime>
  <Pages>3</Pages>
  <Words>144</Words>
  <Characters>825</Characters>
  <Application>Microsoft Office Word</Application>
  <DocSecurity>0</DocSecurity>
  <Lines>6</Lines>
  <Paragraphs>1</Paragraphs>
  <ScaleCrop>false</ScaleCrop>
  <Company>Microsoft</Company>
  <LinksUpToDate>false</LinksUpToDate>
  <CharactersWithSpaces>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法学院挑战杯招标相关课题</dc:title>
  <dc:creator>admin</dc:creator>
  <cp:lastModifiedBy>婉玉 李</cp:lastModifiedBy>
  <cp:revision>6</cp:revision>
  <dcterms:created xsi:type="dcterms:W3CDTF">2014-10-23T01:48:00Z</dcterms:created>
  <dcterms:modified xsi:type="dcterms:W3CDTF">2016-12-05T16:00:00Z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2052-9.1.0.4855</vt:lpwstr>
  </property>
</Properties>
</file>