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int="eastAsia" w:ascii="仿宋_GB2312" w:hAnsi="Times New Roman" w:eastAsia="仿宋_GB2312" w:cs="Times New Roman"/>
          <w:b/>
          <w:sz w:val="24"/>
          <w:szCs w:val="24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法律人第二课堂活动开支预结算登记清单</w:t>
      </w:r>
    </w:p>
    <w:p>
      <w:pPr>
        <w:spacing w:line="240" w:lineRule="auto"/>
        <w:rPr>
          <w:rFonts w:ascii="仿宋_GB2312" w:hAnsi="Times New Roman" w:eastAsia="仿宋_GB2312" w:cs="Times New Roman"/>
          <w:b/>
          <w:sz w:val="24"/>
          <w:szCs w:val="24"/>
          <w:u w:val="single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报销部门：</w:t>
      </w:r>
      <w:r>
        <w:rPr>
          <w:rFonts w:hint="eastAsia" w:ascii="仿宋_GB2312" w:hAnsi="Times New Roman" w:eastAsia="仿宋_GB2312" w:cs="Times New Roman"/>
          <w:b/>
          <w:sz w:val="24"/>
          <w:szCs w:val="24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报销项目：</w:t>
      </w:r>
      <w:r>
        <w:rPr>
          <w:rFonts w:hint="eastAsia" w:ascii="仿宋_GB2312" w:hAnsi="Times New Roman" w:eastAsia="仿宋_GB2312" w:cs="Times New Roman"/>
          <w:b/>
          <w:sz w:val="24"/>
          <w:szCs w:val="24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填表日期：</w:t>
      </w:r>
      <w:r>
        <w:rPr>
          <w:rFonts w:hint="eastAsia" w:ascii="仿宋_GB2312" w:hAnsi="Times New Roman" w:eastAsia="仿宋_GB2312" w:cs="Times New Roman"/>
          <w:b/>
          <w:sz w:val="24"/>
          <w:szCs w:val="24"/>
          <w:u w:val="single"/>
        </w:rPr>
        <w:t xml:space="preserve">             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27"/>
        <w:gridCol w:w="361"/>
        <w:gridCol w:w="568"/>
        <w:gridCol w:w="1081"/>
        <w:gridCol w:w="358"/>
        <w:gridCol w:w="1156"/>
        <w:gridCol w:w="77"/>
        <w:gridCol w:w="1257"/>
        <w:gridCol w:w="723"/>
        <w:gridCol w:w="360"/>
        <w:gridCol w:w="715"/>
        <w:gridCol w:w="185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837" w:type="dxa"/>
            <w:gridSpan w:val="4"/>
            <w:tcBorders>
              <w:bottom w:val="thinThick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项目立项预算额度</w:t>
            </w:r>
          </w:p>
        </w:tc>
        <w:tc>
          <w:tcPr>
            <w:tcW w:w="1591" w:type="dxa"/>
            <w:gridSpan w:val="3"/>
            <w:tcBorders>
              <w:bottom w:val="thinThick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thinThick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结算报销总计金额</w:t>
            </w:r>
          </w:p>
        </w:tc>
        <w:tc>
          <w:tcPr>
            <w:tcW w:w="1754" w:type="dxa"/>
            <w:gridSpan w:val="3"/>
            <w:tcBorders>
              <w:bottom w:val="thinThick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522" w:type="dxa"/>
            <w:gridSpan w:val="1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请将每张报销发票的相关内容填写如下，定额发票、交通票据只需统计张数和金额即可。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发票号码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发票内容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具体用途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351" w:type="dxa"/>
            <w:gridSpan w:val="6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定  额  发  票  统  计</w:t>
            </w:r>
          </w:p>
        </w:tc>
        <w:tc>
          <w:tcPr>
            <w:tcW w:w="41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交  通  票  据  统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票据张数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合计金额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票据张数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合计金额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837" w:type="dxa"/>
            <w:gridSpan w:val="4"/>
            <w:tcBorders>
              <w:top w:val="thickThinSmallGap" w:color="auto" w:sz="24" w:space="0"/>
            </w:tcBorders>
            <w:vAlign w:val="top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经手人签字： 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4"/>
            <w:tcBorders>
              <w:top w:val="thickThinSmallGap" w:color="auto" w:sz="24" w:space="0"/>
            </w:tcBorders>
            <w:vAlign w:val="top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报销部门负责人签字：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5"/>
            <w:tcBorders>
              <w:top w:val="thickThinSmallGap" w:color="auto" w:sz="2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班主任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(班级活动)/</w:t>
            </w:r>
            <w:r>
              <w:rPr>
                <w:rFonts w:hint="eastAsia" w:ascii="仿宋_GB2312" w:eastAsia="仿宋_GB2312"/>
                <w:b/>
                <w:sz w:val="24"/>
              </w:rPr>
              <w:t>部门主管书记签字：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8522" w:type="dxa"/>
            <w:gridSpan w:val="13"/>
            <w:vAlign w:val="top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院团委办公室审核意见：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Cs w:val="21"/>
        </w:rPr>
        <w:t>注：表格不够可另附页；报销金额如超过500元须部门主管书记签字方予报销。</w:t>
      </w:r>
    </w:p>
    <w:p>
      <w:pPr>
        <w:spacing w:line="240" w:lineRule="auto"/>
        <w:rPr>
          <w:rFonts w:ascii="黑体" w:hAnsi="Times New Roman" w:eastAsia="黑体" w:cs="Times New Roman"/>
          <w:sz w:val="24"/>
          <w:szCs w:val="24"/>
        </w:rPr>
      </w:pPr>
      <w:r>
        <w:rPr>
          <w:rFonts w:hint="eastAsia" w:ascii="黑体" w:hAnsi="Times New Roman" w:eastAsia="黑体" w:cs="Times New Roman"/>
          <w:sz w:val="24"/>
          <w:szCs w:val="24"/>
        </w:rPr>
        <w:t>报销注意事项说明：</w:t>
      </w:r>
    </w:p>
    <w:p>
      <w:pPr>
        <w:spacing w:line="360" w:lineRule="auto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1、</w:t>
      </w:r>
      <w:r>
        <w:rPr>
          <w:rFonts w:ascii="仿宋_GB2312" w:hAnsi="Times New Roman" w:eastAsia="仿宋_GB2312" w:cs="Times New Roman"/>
          <w:sz w:val="24"/>
          <w:szCs w:val="24"/>
        </w:rPr>
        <w:t>以下为学校统一财务规定，请严格遵照执行。</w:t>
      </w:r>
    </w:p>
    <w:p>
      <w:pPr>
        <w:spacing w:line="360" w:lineRule="auto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2、报销立项规则：</w:t>
      </w:r>
    </w:p>
    <w:p>
      <w:pPr>
        <w:spacing w:line="360" w:lineRule="auto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（1）</w:t>
      </w:r>
      <w:r>
        <w:rPr>
          <w:rFonts w:ascii="仿宋_GB2312" w:hAnsi="Times New Roman" w:eastAsia="仿宋_GB2312" w:cs="Times New Roman"/>
          <w:sz w:val="24"/>
          <w:szCs w:val="24"/>
        </w:rPr>
        <w:t>所有活动必须经过前期立项</w:t>
      </w:r>
      <w:r>
        <w:rPr>
          <w:rFonts w:hint="eastAsia" w:ascii="仿宋_GB2312" w:hAnsi="Times New Roman" w:eastAsia="仿宋_GB2312" w:cs="Times New Roman"/>
          <w:sz w:val="24"/>
          <w:szCs w:val="24"/>
        </w:rPr>
        <w:t>（提交活动经费预算表，并与活动详细计划一起交与主管审批）</w:t>
      </w:r>
      <w:r>
        <w:rPr>
          <w:rFonts w:ascii="仿宋_GB2312" w:hAnsi="Times New Roman" w:eastAsia="仿宋_GB2312" w:cs="Times New Roman"/>
          <w:sz w:val="24"/>
          <w:szCs w:val="24"/>
        </w:rPr>
        <w:t>，</w:t>
      </w:r>
      <w:r>
        <w:rPr>
          <w:rFonts w:hint="eastAsia" w:ascii="仿宋_GB2312" w:hAnsi="Times New Roman" w:eastAsia="仿宋_GB2312" w:cs="Times New Roman"/>
          <w:sz w:val="24"/>
          <w:szCs w:val="24"/>
        </w:rPr>
        <w:t>各部门的日常开支也须在学期初或月初上交预算申请；</w:t>
      </w:r>
    </w:p>
    <w:p>
      <w:pPr>
        <w:spacing w:line="360" w:lineRule="auto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（2）</w:t>
      </w:r>
      <w:r>
        <w:rPr>
          <w:rFonts w:ascii="仿宋_GB2312" w:hAnsi="Times New Roman" w:eastAsia="仿宋_GB2312" w:cs="Times New Roman"/>
          <w:sz w:val="24"/>
          <w:szCs w:val="24"/>
        </w:rPr>
        <w:t>立项环节提倡节俭，避免不必要的开支，并在立项审批通过后方可办理借场地等事宜，事后提交立项的，一律不给予报销</w:t>
      </w:r>
      <w:r>
        <w:rPr>
          <w:rFonts w:hint="eastAsia" w:ascii="仿宋_GB2312" w:hAnsi="Times New Roman" w:eastAsia="仿宋_GB2312" w:cs="Times New Roman"/>
          <w:sz w:val="24"/>
          <w:szCs w:val="24"/>
        </w:rPr>
        <w:t>；</w:t>
      </w:r>
    </w:p>
    <w:p>
      <w:pPr>
        <w:spacing w:line="360" w:lineRule="auto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（3）</w:t>
      </w:r>
      <w:r>
        <w:rPr>
          <w:rFonts w:ascii="仿宋_GB2312" w:hAnsi="Times New Roman" w:eastAsia="仿宋_GB2312" w:cs="Times New Roman"/>
          <w:sz w:val="24"/>
          <w:szCs w:val="24"/>
        </w:rPr>
        <w:t>发票应实报实销，使用非活动期间、非活动实际支出的发票一律不予以报销</w:t>
      </w:r>
      <w:r>
        <w:rPr>
          <w:rFonts w:hint="eastAsia" w:ascii="仿宋_GB2312" w:hAnsi="Times New Roman" w:eastAsia="仿宋_GB2312" w:cs="Times New Roman"/>
          <w:sz w:val="24"/>
          <w:szCs w:val="24"/>
        </w:rPr>
        <w:t>。</w:t>
      </w:r>
    </w:p>
    <w:p>
      <w:pPr>
        <w:spacing w:line="360" w:lineRule="auto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4、填写规则：</w:t>
      </w:r>
    </w:p>
    <w:p>
      <w:pPr>
        <w:spacing w:line="360" w:lineRule="auto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（1）预结算登记清单为报销凭证，无此清单视为未申请经费支持不予报销；</w:t>
      </w:r>
    </w:p>
    <w:p>
      <w:pPr>
        <w:spacing w:line="360" w:lineRule="auto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（2）须填项目包括：定额发票、交通票据只需统计发票张数和合计金额即可，其他发票须填写发票号码、发票内容、具体用途、金额等事项（其中</w:t>
      </w:r>
      <w:r>
        <w:rPr>
          <w:rFonts w:ascii="仿宋_GB2312" w:hAnsi="Times New Roman" w:eastAsia="仿宋_GB2312" w:cs="Times New Roman"/>
          <w:sz w:val="24"/>
          <w:szCs w:val="24"/>
        </w:rPr>
        <w:t>出租车票只能报销本月出租车票，背面请注明从哪到哪，做什么</w:t>
      </w:r>
      <w:r>
        <w:rPr>
          <w:rFonts w:hint="eastAsia" w:ascii="仿宋_GB2312" w:hAnsi="Times New Roman" w:eastAsia="仿宋_GB2312" w:cs="Times New Roman"/>
          <w:sz w:val="24"/>
          <w:szCs w:val="24"/>
        </w:rPr>
        <w:t>）；</w:t>
      </w:r>
    </w:p>
    <w:p>
      <w:pPr>
        <w:spacing w:line="360" w:lineRule="auto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（3）</w:t>
      </w:r>
      <w:r>
        <w:rPr>
          <w:rFonts w:ascii="仿宋_GB2312" w:hAnsi="Times New Roman" w:eastAsia="仿宋_GB2312" w:cs="Times New Roman"/>
          <w:sz w:val="24"/>
          <w:szCs w:val="24"/>
        </w:rPr>
        <w:t>所有发票应按照发票背面上验真方式，刮开密码验真；检验为真发票的，在背后由验票人签字，如</w:t>
      </w:r>
      <w:r>
        <w:rPr>
          <w:rFonts w:hint="eastAsia" w:ascii="仿宋_GB2312" w:hAnsi="Times New Roman" w:eastAsia="仿宋_GB2312" w:cs="Times New Roman"/>
          <w:sz w:val="24"/>
          <w:szCs w:val="24"/>
        </w:rPr>
        <w:t>“</w:t>
      </w:r>
      <w:r>
        <w:rPr>
          <w:rFonts w:ascii="仿宋_GB2312" w:hAnsi="Times New Roman" w:eastAsia="仿宋_GB2312" w:cs="Times New Roman"/>
          <w:sz w:val="24"/>
          <w:szCs w:val="24"/>
        </w:rPr>
        <w:t>发票已验真，张三</w:t>
      </w:r>
      <w:r>
        <w:rPr>
          <w:rFonts w:hint="eastAsia" w:ascii="仿宋_GB2312" w:hAnsi="Times New Roman" w:eastAsia="仿宋_GB2312" w:cs="Times New Roman"/>
          <w:sz w:val="24"/>
          <w:szCs w:val="24"/>
        </w:rPr>
        <w:t>”；</w:t>
      </w:r>
    </w:p>
    <w:p>
      <w:pPr>
        <w:spacing w:line="360" w:lineRule="auto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（4）</w:t>
      </w:r>
      <w:r>
        <w:rPr>
          <w:rFonts w:ascii="仿宋_GB2312" w:hAnsi="Times New Roman" w:eastAsia="仿宋_GB2312" w:cs="Times New Roman"/>
          <w:sz w:val="24"/>
          <w:szCs w:val="24"/>
        </w:rPr>
        <w:t>金额超过1000元的开支只能使用汇款或支票，餐饮住宿等项目超过1000元需要刷卡支付，并保留刷卡单和支付明细，即住宿需要住宿明细单，餐饮需要附菜单，且菜单含有酒水饮料不予以报销</w:t>
      </w:r>
      <w:r>
        <w:rPr>
          <w:rFonts w:hint="eastAsia" w:ascii="仿宋_GB2312" w:hAnsi="Times New Roman" w:eastAsia="仿宋_GB2312" w:cs="Times New Roman"/>
          <w:sz w:val="24"/>
          <w:szCs w:val="24"/>
        </w:rPr>
        <w:t>。</w:t>
      </w:r>
    </w:p>
    <w:p>
      <w:pPr>
        <w:spacing w:line="360" w:lineRule="auto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5、报销流程：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各部门根据实际活动需要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申请</w:t>
      </w:r>
      <w:r>
        <w:rPr>
          <w:rFonts w:hint="eastAsia" w:ascii="仿宋_GB2312" w:hAnsi="Times New Roman" w:eastAsia="仿宋_GB2312" w:cs="Times New Roman"/>
          <w:sz w:val="24"/>
          <w:szCs w:val="24"/>
        </w:rPr>
        <w:t>立项预算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↓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立项审查委员会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审查</w:t>
      </w:r>
      <w:r>
        <w:rPr>
          <w:rFonts w:hint="eastAsia" w:ascii="仿宋_GB2312" w:hAnsi="Times New Roman" w:eastAsia="仿宋_GB2312" w:cs="Times New Roman"/>
          <w:sz w:val="24"/>
          <w:szCs w:val="24"/>
        </w:rPr>
        <w:t>后核定预算额度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↓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报销部门须在活动结束后两周内整理好发票，并根据要求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填写</w:t>
      </w: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报销部门           报销项目、填表日期以及</w:t>
      </w:r>
      <w:r>
        <w:rPr>
          <w:rFonts w:hint="eastAsia" w:ascii="仿宋_GB2312" w:hAnsi="Times New Roman" w:eastAsia="仿宋_GB2312" w:cs="Times New Roman"/>
          <w:sz w:val="24"/>
          <w:szCs w:val="24"/>
        </w:rPr>
        <w:t>登记预结算登记清单</w:t>
      </w:r>
      <w:r>
        <w:rPr>
          <w:rFonts w:hint="eastAsia" w:ascii="仿宋_GB2312" w:hAnsi="Times New Roman" w:eastAsia="仿宋_GB2312" w:cs="Times New Roman"/>
          <w:b/>
          <w:bCs/>
          <w:sz w:val="24"/>
          <w:szCs w:val="24"/>
        </w:rPr>
        <w:t>黑框内</w:t>
      </w:r>
      <w:r>
        <w:rPr>
          <w:rFonts w:hint="eastAsia" w:ascii="仿宋_GB2312" w:hAnsi="Times New Roman" w:eastAsia="仿宋_GB2312" w:cs="Times New Roman"/>
          <w:sz w:val="24"/>
          <w:szCs w:val="24"/>
        </w:rPr>
        <w:t>的项目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↓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ascii="仿宋_GB2312" w:hAnsi="Times New Roman" w:eastAsia="仿宋_GB2312" w:cs="Times New Roman"/>
          <w:sz w:val="24"/>
          <w:szCs w:val="24"/>
        </w:rPr>
        <w:t>发票和决算单请当面交给团委老师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（如报销金额超过500元，还须主管的团委书记或副书记签字方予报销）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↓</w:t>
      </w:r>
    </w:p>
    <w:p>
      <w:pPr>
        <w:spacing w:line="360" w:lineRule="auto"/>
        <w:jc w:val="center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院团委办公室经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核对</w:t>
      </w:r>
      <w:r>
        <w:rPr>
          <w:rFonts w:hint="eastAsia" w:ascii="仿宋_GB2312" w:hAnsi="Times New Roman" w:eastAsia="仿宋_GB2312" w:cs="Times New Roman"/>
          <w:sz w:val="24"/>
          <w:szCs w:val="24"/>
        </w:rPr>
        <w:t>相关开支项目无误后，按照院财务流程报销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spacing w:line="240" w:lineRule="auto"/>
        <w:rPr>
          <w:rFonts w:ascii="黑体" w:hAnsi="Times New Roman" w:eastAsia="黑体" w:cs="Times New Roman"/>
          <w:sz w:val="24"/>
          <w:szCs w:val="24"/>
        </w:rPr>
      </w:pPr>
      <w:r>
        <w:rPr>
          <w:rFonts w:hint="eastAsia" w:ascii="黑体" w:hAnsi="Times New Roman" w:eastAsia="黑体" w:cs="Times New Roman"/>
          <w:sz w:val="24"/>
          <w:szCs w:val="24"/>
        </w:rPr>
        <w:t>样表填写范例：</w:t>
      </w:r>
      <w:r>
        <w:rPr>
          <w:rFonts w:hint="eastAsia" w:ascii="黑体" w:hAnsi="Times New Roman" w:eastAsia="黑体" w:cs="Times New Roman"/>
          <w:sz w:val="32"/>
          <w:szCs w:val="32"/>
        </w:rPr>
        <w:t>法律人第二课堂活动开支预结算登记清单</w:t>
      </w:r>
    </w:p>
    <w:p>
      <w:pPr>
        <w:spacing w:line="240" w:lineRule="auto"/>
        <w:rPr>
          <w:rFonts w:ascii="仿宋_GB2312" w:hAnsi="Times New Roman" w:eastAsia="仿宋_GB2312" w:cs="Times New Roman"/>
          <w:b/>
          <w:sz w:val="24"/>
          <w:szCs w:val="24"/>
          <w:u w:val="single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报销部门：</w:t>
      </w:r>
      <w:r>
        <w:rPr>
          <w:rFonts w:hint="eastAsia" w:ascii="仿宋_GB2312" w:hAnsi="Times New Roman" w:eastAsia="仿宋_GB2312" w:cs="Times New Roman"/>
          <w:b/>
          <w:sz w:val="24"/>
          <w:szCs w:val="24"/>
          <w:u w:val="single"/>
        </w:rPr>
        <w:t xml:space="preserve"> 学生会 </w:t>
      </w: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报销项目：</w:t>
      </w:r>
      <w:r>
        <w:rPr>
          <w:rFonts w:hint="eastAsia" w:ascii="仿宋_GB2312" w:hAnsi="Times New Roman" w:eastAsia="仿宋_GB2312" w:cs="Times New Roman"/>
          <w:b/>
          <w:sz w:val="24"/>
          <w:szCs w:val="24"/>
          <w:u w:val="single"/>
        </w:rPr>
        <w:t xml:space="preserve"> XX学术讲座 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 xml:space="preserve"> 填表日期：</w:t>
      </w:r>
      <w:r>
        <w:rPr>
          <w:rFonts w:hint="eastAsia" w:ascii="仿宋_GB2312" w:hAnsi="Times New Roman" w:eastAsia="仿宋_GB2312" w:cs="Times New Roman"/>
          <w:b/>
          <w:sz w:val="24"/>
          <w:szCs w:val="24"/>
          <w:u w:val="single"/>
        </w:rPr>
        <w:t xml:space="preserve">2010年12月01日 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 xml:space="preserve">   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27"/>
        <w:gridCol w:w="361"/>
        <w:gridCol w:w="720"/>
        <w:gridCol w:w="929"/>
        <w:gridCol w:w="358"/>
        <w:gridCol w:w="1233"/>
        <w:gridCol w:w="1257"/>
        <w:gridCol w:w="723"/>
        <w:gridCol w:w="360"/>
        <w:gridCol w:w="715"/>
        <w:gridCol w:w="185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837" w:type="dxa"/>
            <w:gridSpan w:val="4"/>
            <w:tcBorders>
              <w:bottom w:val="thinThick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项目立项预算额度</w:t>
            </w:r>
          </w:p>
        </w:tc>
        <w:tc>
          <w:tcPr>
            <w:tcW w:w="1591" w:type="dxa"/>
            <w:gridSpan w:val="2"/>
            <w:tcBorders>
              <w:bottom w:val="thinThick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commentRangeStart w:id="0"/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400元</w:t>
            </w:r>
            <w:commentRangeEnd w:id="0"/>
            <w:r>
              <w:rPr>
                <w:rFonts w:ascii="Times New Roman" w:hAnsi="Times New Roman" w:eastAsia="宋体" w:cs="Times New Roman"/>
                <w:szCs w:val="21"/>
              </w:rPr>
              <w:commentReference w:id="0"/>
            </w:r>
          </w:p>
        </w:tc>
        <w:tc>
          <w:tcPr>
            <w:tcW w:w="2340" w:type="dxa"/>
            <w:gridSpan w:val="3"/>
            <w:tcBorders>
              <w:bottom w:val="thinThick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commentRangeStart w:id="1"/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结算报销总计金额</w:t>
            </w:r>
            <w:commentRangeEnd w:id="1"/>
            <w:r>
              <w:rPr>
                <w:rFonts w:ascii="Times New Roman" w:hAnsi="Times New Roman" w:eastAsia="宋体" w:cs="Times New Roman"/>
                <w:szCs w:val="21"/>
              </w:rPr>
              <w:commentReference w:id="1"/>
            </w:r>
          </w:p>
        </w:tc>
        <w:tc>
          <w:tcPr>
            <w:tcW w:w="1754" w:type="dxa"/>
            <w:gridSpan w:val="3"/>
            <w:tcBorders>
              <w:bottom w:val="thinThick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344元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3" w:hRule="atLeas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请将每张报销发票的相关内容填写如下，定额发票、交通票据只需统计张数和金额即可。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发票号码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发票内容</w:t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具体用途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E109379909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commentRangeStart w:id="2"/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办公用品</w:t>
            </w:r>
            <w:commentRangeEnd w:id="2"/>
            <w:r>
              <w:rPr>
                <w:rFonts w:ascii="Times New Roman" w:hAnsi="Times New Roman" w:eastAsia="宋体" w:cs="Times New Roman"/>
                <w:szCs w:val="21"/>
              </w:rPr>
              <w:commentReference w:id="2"/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购买讲座用笔2盒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B273300839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条幅</w:t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commentRangeStart w:id="3"/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制作讲座条幅1条</w:t>
            </w:r>
            <w:commentRangeEnd w:id="3"/>
            <w:r>
              <w:rPr>
                <w:rFonts w:ascii="Times New Roman" w:hAnsi="Times New Roman" w:eastAsia="宋体" w:cs="Times New Roman"/>
                <w:szCs w:val="21"/>
              </w:rPr>
              <w:commentReference w:id="3"/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Y287983420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复印</w:t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购买讲座用水1箱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05534550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出租车费</w:t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讲座礼品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3535981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出租车费</w:t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讲座礼品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66953931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出租车费</w:t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讲座礼品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10413583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图书</w:t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讲座礼品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28" w:type="dxa"/>
            <w:gridSpan w:val="6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commentRangeStart w:id="4"/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定  额  发  票</w:t>
            </w:r>
            <w:commentRangeEnd w:id="4"/>
            <w:r>
              <w:rPr>
                <w:rFonts w:ascii="Times New Roman" w:hAnsi="Times New Roman" w:eastAsia="宋体" w:cs="Times New Roman"/>
                <w:szCs w:val="21"/>
              </w:rPr>
              <w:commentReference w:id="4"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  统  计</w:t>
            </w:r>
          </w:p>
        </w:tc>
        <w:tc>
          <w:tcPr>
            <w:tcW w:w="40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commentRangeStart w:id="5"/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交  通  票  据  </w:t>
            </w:r>
            <w:commentRangeEnd w:id="5"/>
            <w:r>
              <w:rPr>
                <w:rFonts w:ascii="Times New Roman" w:hAnsi="Times New Roman" w:eastAsia="宋体" w:cs="Times New Roman"/>
                <w:szCs w:val="21"/>
              </w:rPr>
              <w:commentReference w:id="5"/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统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票据张数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合计金额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244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票据张数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合计金额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837" w:type="dxa"/>
            <w:gridSpan w:val="4"/>
            <w:tcBorders>
              <w:top w:val="thickThinSmallGap" w:color="auto" w:sz="24" w:space="0"/>
            </w:tcBorders>
            <w:vAlign w:val="top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经手人签字： 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XXX</w:t>
            </w:r>
          </w:p>
        </w:tc>
        <w:tc>
          <w:tcPr>
            <w:tcW w:w="2848" w:type="dxa"/>
            <w:gridSpan w:val="3"/>
            <w:tcBorders>
              <w:top w:val="thickThinSmallGap" w:color="auto" w:sz="24" w:space="0"/>
            </w:tcBorders>
            <w:vAlign w:val="top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报销部门负责人签字：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XXX</w:t>
            </w:r>
          </w:p>
        </w:tc>
        <w:tc>
          <w:tcPr>
            <w:tcW w:w="2837" w:type="dxa"/>
            <w:gridSpan w:val="5"/>
            <w:tcBorders>
              <w:top w:val="thickThinSmallGap" w:color="auto" w:sz="24" w:space="0"/>
            </w:tcBorders>
            <w:vAlign w:val="top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commentRangeStart w:id="6"/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部门主管书记签字：</w:t>
            </w:r>
            <w:commentRangeEnd w:id="6"/>
            <w:r>
              <w:rPr>
                <w:rFonts w:ascii="Times New Roman" w:hAnsi="Times New Roman" w:eastAsia="宋体" w:cs="Times New Roman"/>
                <w:szCs w:val="21"/>
              </w:rPr>
              <w:commentReference w:id="6"/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76" w:hRule="atLeast"/>
          <w:jc w:val="center"/>
        </w:trPr>
        <w:tc>
          <w:tcPr>
            <w:tcW w:w="8522" w:type="dxa"/>
            <w:gridSpan w:val="12"/>
            <w:vAlign w:val="top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院团委办公室审核意见：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同意报销XXX元。</w:t>
            </w:r>
          </w:p>
        </w:tc>
      </w:tr>
    </w:tbl>
    <w:p>
      <w:pPr>
        <w:spacing w:line="240" w:lineRule="auto"/>
        <w:rPr>
          <w:rFonts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Cs w:val="21"/>
        </w:rPr>
        <w:t>注：表格不够可另附页；报销金额如超过500元须部门主管书记签字方予报销。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杨宗威" w:date="2013-10-16T18:04:00Z" w:initials="yzw">
    <w:p>
      <w:pPr>
        <w:pStyle w:val="3"/>
      </w:pPr>
      <w:r>
        <w:rPr>
          <w:rFonts w:hint="eastAsia"/>
        </w:rPr>
        <w:t>预算额度由秘书部核准时根据立项审查委员会审批后的金额填写</w:t>
      </w:r>
    </w:p>
  </w:comment>
  <w:comment w:id="1" w:author="杨宗威" w:date="2013-10-16T18:04:00Z" w:initials="yzw">
    <w:p>
      <w:pPr>
        <w:pStyle w:val="3"/>
      </w:pPr>
      <w:r>
        <w:rPr>
          <w:rFonts w:hint="eastAsia"/>
        </w:rPr>
        <w:t>结算金额原则上不得超过预算额度，如有特殊情况，须附上超支说明，由院团委酌情考虑。</w:t>
      </w:r>
    </w:p>
  </w:comment>
  <w:comment w:id="2" w:author="杨宗威" w:date="2013-10-16T18:04:00Z" w:initials="yzw">
    <w:p>
      <w:pPr>
        <w:pStyle w:val="3"/>
      </w:pPr>
      <w:r>
        <w:rPr>
          <w:rFonts w:hint="eastAsia"/>
        </w:rPr>
        <w:t>发票内容即发票上所注明的项目内容</w:t>
      </w:r>
    </w:p>
  </w:comment>
  <w:comment w:id="3" w:author="杨宗威" w:date="2013-10-16T18:04:00Z" w:initials="yzw">
    <w:p>
      <w:pPr>
        <w:pStyle w:val="3"/>
      </w:pPr>
      <w:r>
        <w:rPr>
          <w:rFonts w:hint="eastAsia"/>
        </w:rPr>
        <w:t>即开支的实际用途</w:t>
      </w:r>
    </w:p>
  </w:comment>
  <w:comment w:id="4" w:author="杨宗威" w:date="2013-10-16T18:04:00Z" w:initials="yzw">
    <w:p>
      <w:pPr>
        <w:pStyle w:val="3"/>
      </w:pPr>
      <w:r>
        <w:rPr>
          <w:rFonts w:hint="eastAsia"/>
        </w:rPr>
        <w:t>定额发票即发票面额为已印制好或已填写好固定数值的发票，典型的像KFC的发票、卓越的发票都是定额的。</w:t>
      </w:r>
    </w:p>
  </w:comment>
  <w:comment w:id="5" w:author="杨宗威" w:date="2013-10-16T18:04:00Z" w:initials="yzw">
    <w:p>
      <w:pPr>
        <w:pStyle w:val="3"/>
      </w:pPr>
      <w:r>
        <w:rPr>
          <w:rFonts w:hint="eastAsia"/>
        </w:rPr>
        <w:t>交通票据包括的票、公交车票、燃油附加税票据等。火车票、飞机票按出差调研项目另行报销，不在此统计之列。</w:t>
      </w:r>
    </w:p>
  </w:comment>
  <w:comment w:id="6" w:author="杨宗威" w:date="2013-10-16T18:04:00Z" w:initials="yzw">
    <w:p>
      <w:pPr>
        <w:pStyle w:val="3"/>
      </w:pPr>
      <w:r>
        <w:rPr>
          <w:rFonts w:hint="eastAsia"/>
        </w:rPr>
        <w:t>报销金额如超过500元须部门主管书记签字方予报销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B4ECF"/>
    <w:rsid w:val="00263774"/>
    <w:rsid w:val="00287007"/>
    <w:rsid w:val="002A27AA"/>
    <w:rsid w:val="00323B43"/>
    <w:rsid w:val="003D37D8"/>
    <w:rsid w:val="004358AB"/>
    <w:rsid w:val="004A0161"/>
    <w:rsid w:val="004B4ECF"/>
    <w:rsid w:val="007A177F"/>
    <w:rsid w:val="007E2AE4"/>
    <w:rsid w:val="00871C60"/>
    <w:rsid w:val="008B7726"/>
    <w:rsid w:val="00911FBA"/>
    <w:rsid w:val="00960844"/>
    <w:rsid w:val="00A82DA1"/>
    <w:rsid w:val="00AE7B1D"/>
    <w:rsid w:val="00B80533"/>
    <w:rsid w:val="00C54653"/>
    <w:rsid w:val="00E74258"/>
    <w:rsid w:val="00E97490"/>
    <w:rsid w:val="7D6C39D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nhideWhenUsed="0" w:uiPriority="0" w:semiHidden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Calibri" w:hAnsi="Calibri" w:eastAsia="宋体" w:cs="黑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widowControl w:val="0"/>
      <w:spacing w:before="120" w:after="120" w:line="240" w:lineRule="auto"/>
      <w:jc w:val="both"/>
      <w:outlineLvl w:val="2"/>
    </w:pPr>
    <w:rPr>
      <w:rFonts w:ascii="Calibri" w:hAnsi="Calibri" w:eastAsia="宋体" w:cs="Times New Roman"/>
      <w:b/>
      <w:bCs/>
      <w:kern w:val="2"/>
      <w:sz w:val="24"/>
      <w:szCs w:val="32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link w:val="12"/>
    <w:uiPriority w:val="0"/>
    <w:pPr>
      <w:widowControl w:val="0"/>
      <w:spacing w:line="240" w:lineRule="auto"/>
    </w:pPr>
    <w:rPr>
      <w:rFonts w:ascii="Times New Roman" w:hAnsi="Times New Roman" w:eastAsia="宋体"/>
      <w:sz w:val="24"/>
      <w:szCs w:val="24"/>
    </w:rPr>
  </w:style>
  <w:style w:type="paragraph" w:styleId="4">
    <w:name w:val="Balloon Text"/>
    <w:basedOn w:val="1"/>
    <w:link w:val="14"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3 Char"/>
    <w:basedOn w:val="7"/>
    <w:link w:val="2"/>
    <w:uiPriority w:val="9"/>
    <w:rPr>
      <w:rFonts w:ascii="Calibri" w:hAnsi="Calibri" w:cs="Times New Roman"/>
      <w:b/>
      <w:bCs/>
      <w:kern w:val="2"/>
      <w:sz w:val="24"/>
      <w:szCs w:val="32"/>
    </w:rPr>
  </w:style>
  <w:style w:type="character" w:customStyle="1" w:styleId="12">
    <w:name w:val="批注文字 Char"/>
    <w:link w:val="3"/>
    <w:uiPriority w:val="0"/>
    <w:rPr>
      <w:sz w:val="24"/>
      <w:szCs w:val="24"/>
    </w:rPr>
  </w:style>
  <w:style w:type="character" w:customStyle="1" w:styleId="13">
    <w:name w:val="批注文字 Char1"/>
    <w:basedOn w:val="7"/>
    <w:link w:val="3"/>
    <w:semiHidden/>
    <w:uiPriority w:val="99"/>
    <w:rPr>
      <w:rFonts w:ascii="Calibri" w:hAnsi="Calibri" w:eastAsia="宋体"/>
    </w:rPr>
  </w:style>
  <w:style w:type="character" w:customStyle="1" w:styleId="14">
    <w:name w:val="批注框文本 Char"/>
    <w:basedOn w:val="7"/>
    <w:link w:val="4"/>
    <w:semiHidden/>
    <w:uiPriority w:val="99"/>
    <w:rPr>
      <w:rFonts w:ascii="Calibri" w:hAnsi="Calibri" w:eastAsia="宋体"/>
      <w:sz w:val="18"/>
      <w:szCs w:val="18"/>
    </w:rPr>
  </w:style>
  <w:style w:type="character" w:customStyle="1" w:styleId="15">
    <w:name w:val="页眉 Char"/>
    <w:basedOn w:val="7"/>
    <w:link w:val="6"/>
    <w:semiHidden/>
    <w:uiPriority w:val="99"/>
    <w:rPr>
      <w:rFonts w:ascii="Calibri" w:hAnsi="Calibri" w:eastAsia="宋体"/>
      <w:sz w:val="18"/>
      <w:szCs w:val="18"/>
    </w:rPr>
  </w:style>
  <w:style w:type="character" w:customStyle="1" w:styleId="16">
    <w:name w:val="页脚 Char"/>
    <w:basedOn w:val="7"/>
    <w:link w:val="5"/>
    <w:semiHidden/>
    <w:uiPriority w:val="99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comments" Target="commen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</Words>
  <Characters>1405</Characters>
  <Lines>11</Lines>
  <Paragraphs>3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2013-10-16T10:04:00Z</dcterms:created>
  <dc:creator>陈欢</dc:creator>
  <cp:lastModifiedBy>Administrator</cp:lastModifiedBy>
  <dcterms:modified xsi:type="dcterms:W3CDTF">2015-04-10T09:06:35Z</dcterms:modified>
  <dc:title>法律人第二课堂活动开支预结算登记清单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